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CF5CF8" w14:textId="77777777" w:rsidR="009B171E" w:rsidRDefault="00000000">
      <w:pPr>
        <w:pStyle w:val="Footer"/>
        <w:tabs>
          <w:tab w:val="clear" w:pos="4320"/>
          <w:tab w:val="clear" w:pos="8640"/>
        </w:tabs>
        <w:rPr>
          <w:sz w:val="24"/>
        </w:rPr>
      </w:pPr>
      <w:r>
        <w:rPr>
          <w:noProof/>
        </w:rPr>
        <mc:AlternateContent>
          <mc:Choice Requires="wps">
            <w:drawing>
              <wp:anchor distT="0" distB="0" distL="114300" distR="114300" simplePos="0" relativeHeight="251659264" behindDoc="0" locked="0" layoutInCell="0" allowOverlap="1" wp14:anchorId="25D6C8EB" wp14:editId="4DCA4E20">
                <wp:simplePos x="0" y="0"/>
                <wp:positionH relativeFrom="column">
                  <wp:posOffset>95250</wp:posOffset>
                </wp:positionH>
                <wp:positionV relativeFrom="paragraph">
                  <wp:posOffset>3811</wp:posOffset>
                </wp:positionV>
                <wp:extent cx="2651760" cy="647700"/>
                <wp:effectExtent l="0" t="0" r="0" b="0"/>
                <wp:wrapNone/>
                <wp:docPr id="188922757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1760" cy="647700"/>
                        </a:xfrm>
                        <a:prstGeom prst="rect">
                          <a:avLst/>
                        </a:prstGeom>
                        <a:noFill/>
                        <a:ln>
                          <a:noFill/>
                        </a:ln>
                        <a:effectLst/>
                      </wps:spPr>
                      <wps:txbx>
                        <w:txbxContent>
                          <w:p w14:paraId="5DAE3C6D" w14:textId="77777777" w:rsidR="009B171E" w:rsidRDefault="00000000">
                            <w:pPr>
                              <w:jc w:val="center"/>
                              <w:rPr>
                                <w:rFonts w:ascii="Bookman Old Style" w:hAnsi="Bookman Old Style"/>
                                <w:b/>
                                <w:sz w:val="24"/>
                              </w:rPr>
                            </w:pPr>
                            <w:r>
                              <w:rPr>
                                <w:rFonts w:ascii="Bookman Old Style" w:hAnsi="Bookman Old Style"/>
                                <w:b/>
                                <w:sz w:val="24"/>
                              </w:rPr>
                              <w:t>Toxoplasma IgG (</w:t>
                            </w:r>
                            <w:proofErr w:type="spellStart"/>
                            <w:r>
                              <w:rPr>
                                <w:rFonts w:ascii="Bookman Old Style" w:hAnsi="Bookman Old Style"/>
                                <w:b/>
                                <w:sz w:val="24"/>
                              </w:rPr>
                              <w:t>Toxo</w:t>
                            </w:r>
                            <w:proofErr w:type="spellEnd"/>
                            <w:r>
                              <w:rPr>
                                <w:rFonts w:ascii="Bookman Old Style" w:hAnsi="Bookman Old Style"/>
                                <w:b/>
                                <w:sz w:val="24"/>
                              </w:rPr>
                              <w:t xml:space="preserve"> IgG)</w:t>
                            </w:r>
                          </w:p>
                          <w:p w14:paraId="0051160A" w14:textId="77777777" w:rsidR="009B171E" w:rsidRDefault="00000000">
                            <w:pPr>
                              <w:jc w:val="center"/>
                              <w:rPr>
                                <w:rFonts w:ascii="Bookman Old Style" w:hAnsi="Bookman Old Style"/>
                                <w:b/>
                                <w:sz w:val="24"/>
                                <w:lang w:val="en-GB"/>
                              </w:rPr>
                            </w:pPr>
                            <w:r>
                              <w:rPr>
                                <w:rFonts w:ascii="Bookman Old Style" w:hAnsi="Bookman Old Style"/>
                                <w:b/>
                                <w:sz w:val="24"/>
                              </w:rPr>
                              <w:t xml:space="preserve">ENZYME IMMUNOASSAY </w:t>
                            </w:r>
                            <w:r>
                              <w:rPr>
                                <w:rFonts w:ascii="Bookman Old Style" w:hAnsi="Bookman Old Style"/>
                                <w:b/>
                                <w:sz w:val="24"/>
                                <w:lang w:val="en-GB"/>
                              </w:rPr>
                              <w:t>TEST KIT</w:t>
                            </w:r>
                          </w:p>
                          <w:p w14:paraId="13407F00" w14:textId="77777777" w:rsidR="009B171E" w:rsidRDefault="009B171E">
                            <w:pPr>
                              <w:jc w:val="center"/>
                              <w:rPr>
                                <w:b/>
                                <w:sz w:val="28"/>
                              </w:rPr>
                            </w:pPr>
                          </w:p>
                        </w:txbxContent>
                      </wps:txbx>
                      <wps:bodyPr rot="0" vert="horz" wrap="square" lIns="12700" tIns="12700" rIns="12700" bIns="12700" anchor="t" anchorCtr="0" upright="1">
                        <a:noAutofit/>
                      </wps:bodyPr>
                    </wps:wsp>
                  </a:graphicData>
                </a:graphic>
                <wp14:sizeRelV relativeFrom="margin">
                  <wp14:pctHeight>0</wp14:pctHeight>
                </wp14:sizeRelV>
              </wp:anchor>
            </w:drawing>
          </mc:Choice>
          <mc:Fallback>
            <w:pict>
              <v:rect w14:anchorId="25D6C8EB" id="Rectangle 2" o:spid="_x0000_s1026" style="position:absolute;margin-left:7.5pt;margin-top:.3pt;width:208.8pt;height:51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" o:allowincell="f" filled="f" stroked="f">
                <v:textbox inset="1pt,1pt,1pt,1pt">
                  <w:txbxContent>
                    <w:p w14:paraId="5DAE3C6D" w14:textId="77777777" w:rsidR="009B171E" w:rsidRDefault="00000000">
                      <w:pPr>
                        <w:jc w:val="center"/>
                        <w:rPr>
                          <w:rFonts w:ascii="Bookman Old Style" w:hAnsi="Bookman Old Style"/>
                          <w:b/>
                          <w:sz w:val="24"/>
                        </w:rPr>
                      </w:pPr>
                      <w:r>
                        <w:rPr>
                          <w:rFonts w:ascii="Bookman Old Style" w:hAnsi="Bookman Old Style"/>
                          <w:b/>
                          <w:sz w:val="24"/>
                        </w:rPr>
                        <w:t>Toxoplasma IgG (</w:t>
                      </w:r>
                      <w:proofErr w:type="spellStart"/>
                      <w:r>
                        <w:rPr>
                          <w:rFonts w:ascii="Bookman Old Style" w:hAnsi="Bookman Old Style"/>
                          <w:b/>
                          <w:sz w:val="24"/>
                        </w:rPr>
                        <w:t>Toxo</w:t>
                      </w:r>
                      <w:proofErr w:type="spellEnd"/>
                      <w:r>
                        <w:rPr>
                          <w:rFonts w:ascii="Bookman Old Style" w:hAnsi="Bookman Old Style"/>
                          <w:b/>
                          <w:sz w:val="24"/>
                        </w:rPr>
                        <w:t xml:space="preserve"> IgG)</w:t>
                      </w:r>
                    </w:p>
                    <w:p w14:paraId="0051160A" w14:textId="77777777" w:rsidR="009B171E" w:rsidRDefault="00000000">
                      <w:pPr>
                        <w:jc w:val="center"/>
                        <w:rPr>
                          <w:rFonts w:ascii="Bookman Old Style" w:hAnsi="Bookman Old Style"/>
                          <w:b/>
                          <w:sz w:val="24"/>
                          <w:lang w:val="en-GB"/>
                        </w:rPr>
                      </w:pPr>
                      <w:r>
                        <w:rPr>
                          <w:rFonts w:ascii="Bookman Old Style" w:hAnsi="Bookman Old Style"/>
                          <w:b/>
                          <w:sz w:val="24"/>
                        </w:rPr>
                        <w:t xml:space="preserve">ENZYME IMMUNOASSAY </w:t>
                      </w:r>
                      <w:r>
                        <w:rPr>
                          <w:rFonts w:ascii="Bookman Old Style" w:hAnsi="Bookman Old Style"/>
                          <w:b/>
                          <w:sz w:val="24"/>
                          <w:lang w:val="en-GB"/>
                        </w:rPr>
                        <w:t>TEST KIT</w:t>
                      </w:r>
                    </w:p>
                    <w:p w14:paraId="13407F00" w14:textId="77777777" w:rsidR="009B171E" w:rsidRDefault="009B171E">
                      <w:pPr>
                        <w:jc w:val="center"/>
                        <w:rPr>
                          <w:b/>
                          <w:sz w:val="28"/>
                        </w:rPr>
                      </w:pPr>
                    </w:p>
                  </w:txbxContent>
                </v:textbox>
              </v:rect>
            </w:pict>
          </mc:Fallback>
        </mc:AlternateContent>
      </w:r>
    </w:p>
    <w:p w14:paraId="012E9028" w14:textId="77777777" w:rsidR="009B171E" w:rsidRDefault="009B171E">
      <w:pPr>
        <w:rPr>
          <w:sz w:val="24"/>
        </w:rPr>
      </w:pPr>
    </w:p>
    <w:p w14:paraId="725CFDF5" w14:textId="77777777" w:rsidR="009B171E" w:rsidRDefault="009B171E">
      <w:pPr>
        <w:rPr>
          <w:sz w:val="24"/>
        </w:rPr>
      </w:pPr>
    </w:p>
    <w:p w14:paraId="74879F61" w14:textId="77777777" w:rsidR="009B171E" w:rsidRDefault="009B171E">
      <w:pPr>
        <w:tabs>
          <w:tab w:val="left" w:pos="360"/>
        </w:tabs>
        <w:jc w:val="center"/>
        <w:rPr>
          <w:rFonts w:ascii="Arial" w:hAnsi="Arial" w:cs="Arial"/>
          <w:b/>
        </w:rPr>
      </w:pPr>
    </w:p>
    <w:p w14:paraId="4AD796D9" w14:textId="77777777" w:rsidR="009B171E" w:rsidRDefault="009B171E">
      <w:pPr>
        <w:tabs>
          <w:tab w:val="left" w:pos="360"/>
        </w:tabs>
        <w:jc w:val="center"/>
        <w:rPr>
          <w:rFonts w:ascii="Arial" w:hAnsi="Arial" w:cs="Arial"/>
          <w:b/>
        </w:rPr>
      </w:pPr>
    </w:p>
    <w:p w14:paraId="4BC2E570" w14:textId="77777777" w:rsidR="009B171E" w:rsidRDefault="00000000">
      <w:pPr>
        <w:tabs>
          <w:tab w:val="left" w:pos="360"/>
        </w:tabs>
        <w:jc w:val="center"/>
        <w:rPr>
          <w:rFonts w:ascii="Arial" w:hAnsi="Arial" w:cs="Arial"/>
          <w:b/>
        </w:rPr>
      </w:pPr>
      <w:r>
        <w:rPr>
          <w:rFonts w:ascii="Arial" w:hAnsi="Arial" w:cs="Arial"/>
          <w:b/>
        </w:rPr>
        <w:t>Enzyme Linked Immunosorbent Assay (ELISA) for Quantitative Detection of Toxoplasma IgG antibody in Human Serum</w:t>
      </w:r>
    </w:p>
    <w:p w14:paraId="0EE8D507" w14:textId="77777777" w:rsidR="009B171E" w:rsidRDefault="009B171E">
      <w:pPr>
        <w:tabs>
          <w:tab w:val="left" w:pos="360"/>
        </w:tabs>
        <w:jc w:val="center"/>
        <w:rPr>
          <w:rFonts w:ascii="Arial" w:hAnsi="Arial" w:cs="Arial"/>
          <w:b/>
        </w:rPr>
      </w:pPr>
    </w:p>
    <w:p w14:paraId="15413122" w14:textId="77777777" w:rsidR="009B171E" w:rsidRDefault="009B171E">
      <w:pPr>
        <w:tabs>
          <w:tab w:val="left" w:pos="360"/>
        </w:tabs>
        <w:jc w:val="center"/>
        <w:rPr>
          <w:rFonts w:ascii="Arial" w:hAnsi="Arial" w:cs="Arial"/>
          <w:b/>
        </w:rPr>
      </w:pPr>
    </w:p>
    <w:p w14:paraId="010692B0" w14:textId="77777777" w:rsidR="009B171E" w:rsidRDefault="00000000">
      <w:pPr>
        <w:tabs>
          <w:tab w:val="left" w:pos="360"/>
        </w:tabs>
        <w:jc w:val="center"/>
        <w:rPr>
          <w:rFonts w:ascii="Arial" w:hAnsi="Arial" w:cs="Arial"/>
          <w:b/>
        </w:rPr>
      </w:pPr>
      <w:r>
        <w:rPr>
          <w:rFonts w:ascii="Arial" w:hAnsi="Arial" w:cs="Arial"/>
          <w:b/>
        </w:rPr>
        <w:t>FOR IN VITRO DIAGNOSTIC USE ONLY</w:t>
      </w:r>
    </w:p>
    <w:p w14:paraId="7436194A" w14:textId="77777777" w:rsidR="009B171E" w:rsidRDefault="00000000">
      <w:pPr>
        <w:tabs>
          <w:tab w:val="left" w:pos="360"/>
        </w:tabs>
        <w:jc w:val="center"/>
        <w:rPr>
          <w:rFonts w:ascii="Arial" w:hAnsi="Arial" w:cs="Arial"/>
          <w:b/>
        </w:rPr>
      </w:pPr>
      <w:r>
        <w:rPr>
          <w:rFonts w:ascii="Arial" w:hAnsi="Arial" w:cs="Arial"/>
          <w:b/>
        </w:rPr>
        <w:t>Store at 2°C to 8°C</w:t>
      </w:r>
    </w:p>
    <w:p w14:paraId="5A75244B" w14:textId="77777777" w:rsidR="009B171E" w:rsidRDefault="009B171E">
      <w:pPr>
        <w:tabs>
          <w:tab w:val="left" w:pos="360"/>
        </w:tabs>
        <w:jc w:val="both"/>
        <w:rPr>
          <w:rFonts w:ascii="Arial" w:hAnsi="Arial" w:cs="Arial"/>
          <w:bCs/>
          <w:sz w:val="18"/>
          <w:szCs w:val="18"/>
        </w:rPr>
      </w:pPr>
    </w:p>
    <w:p w14:paraId="5AFE32BA" w14:textId="77777777" w:rsidR="009B171E" w:rsidRDefault="009B171E">
      <w:pPr>
        <w:tabs>
          <w:tab w:val="left" w:pos="360"/>
        </w:tabs>
        <w:ind w:left="720" w:hanging="360"/>
        <w:jc w:val="both"/>
        <w:rPr>
          <w:rFonts w:ascii="Arial" w:hAnsi="Arial" w:cs="Arial"/>
          <w:bCs/>
          <w:sz w:val="18"/>
          <w:szCs w:val="18"/>
        </w:rPr>
      </w:pPr>
    </w:p>
    <w:p w14:paraId="64ECEF79"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 INTENDED USE</w:t>
      </w:r>
    </w:p>
    <w:p w14:paraId="70ABCFFE" w14:textId="77777777" w:rsidR="009B171E" w:rsidRDefault="00000000">
      <w:pPr>
        <w:ind w:left="426" w:hanging="66"/>
        <w:jc w:val="both"/>
        <w:rPr>
          <w:rFonts w:ascii="Arial" w:hAnsi="Arial" w:cs="Arial"/>
          <w:bCs/>
          <w:sz w:val="18"/>
          <w:szCs w:val="18"/>
        </w:rPr>
      </w:pPr>
      <w:r>
        <w:rPr>
          <w:rFonts w:ascii="Arial" w:hAnsi="Arial" w:cs="Arial"/>
          <w:bCs/>
          <w:sz w:val="18"/>
          <w:szCs w:val="18"/>
        </w:rPr>
        <w:t xml:space="preserve"> TOXO IgG is intended for the Quantitative detection of IgG antibody to toxoplasma gondii infection in human serum. For in Vitro Diagnostic Use only.</w:t>
      </w:r>
    </w:p>
    <w:p w14:paraId="0A5737B7" w14:textId="77777777" w:rsidR="009B171E" w:rsidRDefault="009B171E">
      <w:pPr>
        <w:ind w:left="426" w:hanging="219"/>
        <w:jc w:val="both"/>
        <w:rPr>
          <w:rFonts w:ascii="Arial" w:hAnsi="Arial" w:cs="Arial"/>
          <w:bCs/>
          <w:sz w:val="18"/>
          <w:szCs w:val="18"/>
        </w:rPr>
      </w:pPr>
    </w:p>
    <w:p w14:paraId="4F012572" w14:textId="77777777" w:rsidR="009B171E" w:rsidRDefault="00000000">
      <w:pPr>
        <w:ind w:left="426" w:hanging="66"/>
        <w:jc w:val="both"/>
        <w:rPr>
          <w:rFonts w:ascii="Arial" w:hAnsi="Arial" w:cs="Arial"/>
          <w:bCs/>
          <w:sz w:val="18"/>
          <w:szCs w:val="18"/>
        </w:rPr>
      </w:pPr>
      <w:r>
        <w:rPr>
          <w:rFonts w:ascii="Arial" w:hAnsi="Arial" w:cs="Arial"/>
          <w:bCs/>
          <w:sz w:val="18"/>
          <w:szCs w:val="18"/>
        </w:rPr>
        <w:t xml:space="preserve"> INTRODUCTION</w:t>
      </w:r>
    </w:p>
    <w:p w14:paraId="7A066891" w14:textId="77777777" w:rsidR="009B171E" w:rsidRDefault="00000000">
      <w:pPr>
        <w:ind w:left="426"/>
        <w:jc w:val="both"/>
        <w:rPr>
          <w:rFonts w:ascii="Arial" w:hAnsi="Arial" w:cs="Arial"/>
          <w:bCs/>
          <w:sz w:val="18"/>
          <w:szCs w:val="18"/>
        </w:rPr>
      </w:pPr>
      <w:r>
        <w:rPr>
          <w:rFonts w:ascii="Arial" w:hAnsi="Arial" w:cs="Arial"/>
          <w:bCs/>
          <w:sz w:val="18"/>
          <w:szCs w:val="18"/>
        </w:rPr>
        <w:t>Toxoplasmosis is caused by the intracellular parasite Toxoplasma gondii and may be contracted by consuming contaminated meat or by contact with cat feces containing oocysts. In adolescence and adulthood, most infections are subclinical. However, if a pregnant woman contracts toxoplasmosis, it may be passed through the placenta to the fetus, resulting in congenital toxoplasmosis, which is a cause of mortality and malformation.  Asymptomatic infants may develop abnormalities later in life. The ELISA Toxoplasma IgG is an accurate serologic method to detect Toxoplasma antibody for clinical identification of toxoplasmosis.</w:t>
      </w:r>
    </w:p>
    <w:p w14:paraId="62E680EE" w14:textId="77777777" w:rsidR="009B171E" w:rsidRDefault="009B171E">
      <w:pPr>
        <w:ind w:left="426" w:hanging="219"/>
        <w:jc w:val="both"/>
        <w:rPr>
          <w:rFonts w:ascii="Arial" w:hAnsi="Arial" w:cs="Arial"/>
          <w:bCs/>
          <w:sz w:val="18"/>
          <w:szCs w:val="18"/>
        </w:rPr>
      </w:pPr>
    </w:p>
    <w:p w14:paraId="3FED06D9" w14:textId="77777777" w:rsidR="009B171E" w:rsidRDefault="00000000">
      <w:pPr>
        <w:ind w:left="426" w:hanging="66"/>
        <w:jc w:val="both"/>
        <w:rPr>
          <w:rFonts w:ascii="Arial" w:hAnsi="Arial" w:cs="Arial"/>
          <w:bCs/>
          <w:sz w:val="18"/>
          <w:szCs w:val="18"/>
        </w:rPr>
      </w:pPr>
      <w:r>
        <w:rPr>
          <w:rFonts w:ascii="Arial" w:hAnsi="Arial" w:cs="Arial"/>
          <w:bCs/>
          <w:sz w:val="18"/>
          <w:szCs w:val="18"/>
        </w:rPr>
        <w:t xml:space="preserve"> PRINCIPLE OF THE ASSAY</w:t>
      </w:r>
    </w:p>
    <w:p w14:paraId="032C8B40" w14:textId="77777777" w:rsidR="009B171E" w:rsidRDefault="00000000">
      <w:pPr>
        <w:ind w:left="426" w:hanging="66"/>
        <w:jc w:val="both"/>
        <w:rPr>
          <w:rFonts w:ascii="Arial" w:hAnsi="Arial" w:cs="Arial"/>
          <w:bCs/>
          <w:sz w:val="18"/>
          <w:szCs w:val="18"/>
        </w:rPr>
      </w:pPr>
      <w:r>
        <w:rPr>
          <w:rFonts w:ascii="Arial" w:hAnsi="Arial" w:cs="Arial"/>
          <w:bCs/>
          <w:sz w:val="18"/>
          <w:szCs w:val="18"/>
        </w:rPr>
        <w:t xml:space="preserve"> Purified Toxoplasma gondii antigen is coated on the surface of microwells.  Diluted patient serum is added to wells, and the Toxoplasma gondii IgG specific antibody, if present, binds to the antigen.  All unbound materials are washed away. A subsequent incubation with Anti-human IgG agglutinating sera conjugated with horseradish peroxidase binds to the antigen-antibody complex.  Excess enzyme conjugate is washed off and TMB substrate is added. The enzyme conjugate catalytic reaction is stopped at a specific time and absorbance is determined for each well at 450nm and 630nm with an ELISA reader. The intensity of the color generated is </w:t>
      </w:r>
      <w:r>
        <w:rPr>
          <w:rFonts w:ascii="Arial" w:hAnsi="Arial" w:cs="Arial"/>
          <w:bCs/>
          <w:sz w:val="18"/>
          <w:szCs w:val="18"/>
        </w:rPr>
        <w:t xml:space="preserve">proportional to the amount of IgG specific antibody in the sample. </w:t>
      </w:r>
    </w:p>
    <w:p w14:paraId="5EE6D69D" w14:textId="77777777" w:rsidR="009B171E" w:rsidRDefault="009B171E">
      <w:pPr>
        <w:tabs>
          <w:tab w:val="left" w:pos="360"/>
        </w:tabs>
        <w:ind w:left="720" w:hanging="360"/>
        <w:jc w:val="both"/>
        <w:rPr>
          <w:rFonts w:ascii="Arial" w:hAnsi="Arial" w:cs="Arial"/>
          <w:bCs/>
          <w:sz w:val="18"/>
          <w:szCs w:val="18"/>
        </w:rPr>
      </w:pPr>
    </w:p>
    <w:p w14:paraId="58C42000"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MATERIALS AND COMPONENTS</w:t>
      </w:r>
    </w:p>
    <w:p w14:paraId="770C7E1B"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Materials provided with the test kit:</w:t>
      </w:r>
    </w:p>
    <w:p w14:paraId="354ED768"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Coated Microwells: Purified Toxoplasma antigen coated wells.</w:t>
      </w:r>
    </w:p>
    <w:p w14:paraId="2CAA8587"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Sample Diluent. Ready to use.</w:t>
      </w:r>
    </w:p>
    <w:p w14:paraId="24D1503B"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3. </w:t>
      </w:r>
      <w:r>
        <w:rPr>
          <w:rFonts w:ascii="Arial" w:hAnsi="Arial" w:cs="Arial"/>
          <w:bCs/>
          <w:sz w:val="18"/>
          <w:szCs w:val="18"/>
        </w:rPr>
        <w:tab/>
        <w:t xml:space="preserve">Negative Calibrator: 0 IU/ml. </w:t>
      </w:r>
    </w:p>
    <w:p w14:paraId="0CFFA627"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4. </w:t>
      </w:r>
      <w:r>
        <w:rPr>
          <w:rFonts w:ascii="Arial" w:hAnsi="Arial" w:cs="Arial"/>
          <w:bCs/>
          <w:sz w:val="18"/>
          <w:szCs w:val="18"/>
        </w:rPr>
        <w:tab/>
        <w:t xml:space="preserve">Positive Calibrator: 50 IU/ml. </w:t>
      </w:r>
    </w:p>
    <w:p w14:paraId="4695DAEB"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5. </w:t>
      </w:r>
      <w:r>
        <w:rPr>
          <w:rFonts w:ascii="Arial" w:hAnsi="Arial" w:cs="Arial"/>
          <w:bCs/>
          <w:sz w:val="18"/>
          <w:szCs w:val="18"/>
        </w:rPr>
        <w:tab/>
        <w:t xml:space="preserve">Positive Calibrator: 150 IU/ml. </w:t>
      </w:r>
    </w:p>
    <w:p w14:paraId="7DFC3E69"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Negative Control: Range stated on the label.</w:t>
      </w:r>
    </w:p>
    <w:p w14:paraId="50F34891"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7.</w:t>
      </w:r>
      <w:r>
        <w:rPr>
          <w:rFonts w:ascii="Arial" w:hAnsi="Arial" w:cs="Arial"/>
          <w:bCs/>
          <w:sz w:val="18"/>
          <w:szCs w:val="18"/>
        </w:rPr>
        <w:tab/>
        <w:t>Positive Control: Range stated on the label.</w:t>
      </w:r>
    </w:p>
    <w:p w14:paraId="2033B76C"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8.</w:t>
      </w:r>
      <w:r>
        <w:rPr>
          <w:rFonts w:ascii="Arial" w:hAnsi="Arial" w:cs="Arial"/>
          <w:bCs/>
          <w:sz w:val="18"/>
          <w:szCs w:val="18"/>
        </w:rPr>
        <w:tab/>
        <w:t>Wash Buffer Concentrate (20X).</w:t>
      </w:r>
    </w:p>
    <w:p w14:paraId="7B106E6A"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9.</w:t>
      </w:r>
      <w:r>
        <w:rPr>
          <w:rFonts w:ascii="Arial" w:hAnsi="Arial" w:cs="Arial"/>
          <w:bCs/>
          <w:sz w:val="18"/>
          <w:szCs w:val="18"/>
        </w:rPr>
        <w:tab/>
        <w:t>Enzyme Conjugate. Ready to use.</w:t>
      </w:r>
    </w:p>
    <w:p w14:paraId="4068E3F3"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10. </w:t>
      </w:r>
      <w:r>
        <w:rPr>
          <w:rFonts w:ascii="Arial" w:hAnsi="Arial" w:cs="Arial"/>
          <w:bCs/>
          <w:sz w:val="18"/>
          <w:szCs w:val="18"/>
        </w:rPr>
        <w:tab/>
        <w:t xml:space="preserve">Cut-off Calibrator: 8 IU/ml. </w:t>
      </w:r>
      <w:proofErr w:type="spellStart"/>
      <w:r>
        <w:rPr>
          <w:rFonts w:ascii="Arial" w:hAnsi="Arial" w:cs="Arial"/>
          <w:bCs/>
          <w:sz w:val="18"/>
          <w:szCs w:val="18"/>
        </w:rPr>
        <w:t>Toxo</w:t>
      </w:r>
      <w:proofErr w:type="spellEnd"/>
      <w:r>
        <w:rPr>
          <w:rFonts w:ascii="Arial" w:hAnsi="Arial" w:cs="Arial"/>
          <w:bCs/>
          <w:sz w:val="18"/>
          <w:szCs w:val="18"/>
        </w:rPr>
        <w:t xml:space="preserve"> G Index = 1.0.   </w:t>
      </w:r>
    </w:p>
    <w:p w14:paraId="12FDBC78"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11. </w:t>
      </w:r>
      <w:r>
        <w:rPr>
          <w:rFonts w:ascii="Arial" w:hAnsi="Arial" w:cs="Arial"/>
          <w:bCs/>
          <w:sz w:val="18"/>
          <w:szCs w:val="18"/>
        </w:rPr>
        <w:tab/>
        <w:t>TMB Substrate. Ready to use.</w:t>
      </w:r>
    </w:p>
    <w:p w14:paraId="2B33FD3E"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12. </w:t>
      </w:r>
      <w:r>
        <w:rPr>
          <w:rFonts w:ascii="Arial" w:hAnsi="Arial" w:cs="Arial"/>
          <w:bCs/>
          <w:sz w:val="18"/>
          <w:szCs w:val="18"/>
        </w:rPr>
        <w:tab/>
        <w:t>Stop Solution.</w:t>
      </w:r>
    </w:p>
    <w:p w14:paraId="04870F77"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13.</w:t>
      </w:r>
      <w:r>
        <w:rPr>
          <w:rFonts w:ascii="Arial" w:hAnsi="Arial" w:cs="Arial"/>
          <w:bCs/>
          <w:sz w:val="18"/>
          <w:szCs w:val="18"/>
        </w:rPr>
        <w:tab/>
        <w:t>Pack Insert</w:t>
      </w:r>
    </w:p>
    <w:p w14:paraId="4C68F6D6"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14.</w:t>
      </w:r>
      <w:r>
        <w:rPr>
          <w:rFonts w:ascii="Arial" w:hAnsi="Arial" w:cs="Arial"/>
          <w:bCs/>
          <w:sz w:val="18"/>
          <w:szCs w:val="18"/>
        </w:rPr>
        <w:tab/>
        <w:t>Plate Sealer</w:t>
      </w:r>
    </w:p>
    <w:p w14:paraId="71D248D4"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15.</w:t>
      </w:r>
      <w:r>
        <w:rPr>
          <w:rFonts w:ascii="Arial" w:hAnsi="Arial" w:cs="Arial"/>
          <w:bCs/>
          <w:sz w:val="18"/>
          <w:szCs w:val="18"/>
        </w:rPr>
        <w:tab/>
        <w:t>Protocol Sheet</w:t>
      </w:r>
    </w:p>
    <w:p w14:paraId="2B40EC18"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16.</w:t>
      </w:r>
      <w:r>
        <w:rPr>
          <w:rFonts w:ascii="Arial" w:hAnsi="Arial" w:cs="Arial"/>
          <w:bCs/>
          <w:sz w:val="18"/>
          <w:szCs w:val="18"/>
        </w:rPr>
        <w:tab/>
        <w:t>Microwell Holder.</w:t>
      </w:r>
    </w:p>
    <w:p w14:paraId="74AE30F4" w14:textId="77777777" w:rsidR="009B171E" w:rsidRDefault="009B171E">
      <w:pPr>
        <w:tabs>
          <w:tab w:val="left" w:pos="360"/>
        </w:tabs>
        <w:ind w:left="720" w:hanging="360"/>
        <w:jc w:val="both"/>
        <w:rPr>
          <w:rFonts w:ascii="Arial" w:hAnsi="Arial" w:cs="Arial"/>
          <w:bCs/>
          <w:sz w:val="18"/>
          <w:szCs w:val="18"/>
        </w:rPr>
      </w:pPr>
    </w:p>
    <w:p w14:paraId="5998F17B"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Materials required but not provided</w:t>
      </w:r>
    </w:p>
    <w:p w14:paraId="5B74EACD"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Precision pipettes: 10-100µl, 20-200µl, 100-1000µl</w:t>
      </w:r>
    </w:p>
    <w:p w14:paraId="2F60A2A0"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Disposable pipette tips</w:t>
      </w:r>
    </w:p>
    <w:p w14:paraId="294B9A09"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Distilled water</w:t>
      </w:r>
    </w:p>
    <w:p w14:paraId="546110CD"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Disposable Gloves</w:t>
      </w:r>
    </w:p>
    <w:p w14:paraId="2ACE77E5"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ELISA reader</w:t>
      </w:r>
    </w:p>
    <w:p w14:paraId="4DDA437D"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ELISA washer</w:t>
      </w:r>
    </w:p>
    <w:p w14:paraId="495BEE32"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7)</w:t>
      </w:r>
      <w:r>
        <w:rPr>
          <w:rFonts w:ascii="Arial" w:hAnsi="Arial" w:cs="Arial"/>
          <w:bCs/>
          <w:sz w:val="18"/>
          <w:szCs w:val="18"/>
        </w:rPr>
        <w:tab/>
        <w:t>Avidity Buffer</w:t>
      </w:r>
    </w:p>
    <w:p w14:paraId="66CDE18F" w14:textId="77777777" w:rsidR="009B171E" w:rsidRDefault="009B171E">
      <w:pPr>
        <w:tabs>
          <w:tab w:val="left" w:pos="360"/>
        </w:tabs>
        <w:ind w:left="720" w:hanging="360"/>
        <w:jc w:val="both"/>
        <w:rPr>
          <w:rFonts w:ascii="Arial" w:hAnsi="Arial" w:cs="Arial"/>
          <w:bCs/>
          <w:sz w:val="18"/>
          <w:szCs w:val="18"/>
        </w:rPr>
      </w:pPr>
    </w:p>
    <w:p w14:paraId="03530C49"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STORAGE AND STABILITY</w:t>
      </w:r>
    </w:p>
    <w:p w14:paraId="240AFE20"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TOXO IgG kit is stable at 2-8°C up to expiry date printed on the label.</w:t>
      </w:r>
    </w:p>
    <w:p w14:paraId="54C3CE8B"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 xml:space="preserve">Coated Microwells should be used within one month upon opening the pouch provided that once opened, the pouch must be resealed to protect from moisture. If the </w:t>
      </w:r>
      <w:proofErr w:type="spellStart"/>
      <w:r>
        <w:rPr>
          <w:rFonts w:ascii="Arial" w:hAnsi="Arial" w:cs="Arial"/>
          <w:bCs/>
          <w:sz w:val="18"/>
          <w:szCs w:val="18"/>
        </w:rPr>
        <w:t>colour</w:t>
      </w:r>
      <w:proofErr w:type="spellEnd"/>
      <w:r>
        <w:rPr>
          <w:rFonts w:ascii="Arial" w:hAnsi="Arial" w:cs="Arial"/>
          <w:bCs/>
          <w:sz w:val="18"/>
          <w:szCs w:val="18"/>
        </w:rPr>
        <w:t xml:space="preserve"> of the desiccant has changed from blue to pink at the time of opening the pouch, another coated Microwells pouch should be used.</w:t>
      </w:r>
    </w:p>
    <w:p w14:paraId="76D78ED2"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Diluted Wash Buffer is stable for up to one week when stored at 2-8°C.</w:t>
      </w:r>
    </w:p>
    <w:p w14:paraId="7A6ADB3D"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SPECIMEN COLLECTION &amp; PREPARATION</w:t>
      </w:r>
    </w:p>
    <w:p w14:paraId="70699D68"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Collect Blood specimen by venipuncture according to standard procedure.</w:t>
      </w:r>
    </w:p>
    <w:p w14:paraId="1EC88E80"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Serum only should be used.</w:t>
      </w:r>
    </w:p>
    <w:p w14:paraId="0F0F97C0"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Avoid grossly hemolytic, lipemic or turbid samples. </w:t>
      </w:r>
    </w:p>
    <w:p w14:paraId="643D4CA8"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 xml:space="preserve">Preferably use fresh samples. </w:t>
      </w:r>
      <w:proofErr w:type="gramStart"/>
      <w:r>
        <w:rPr>
          <w:rFonts w:ascii="Arial" w:hAnsi="Arial" w:cs="Arial"/>
          <w:bCs/>
          <w:sz w:val="18"/>
          <w:szCs w:val="18"/>
        </w:rPr>
        <w:t>However</w:t>
      </w:r>
      <w:proofErr w:type="gramEnd"/>
      <w:r>
        <w:rPr>
          <w:rFonts w:ascii="Arial" w:hAnsi="Arial" w:cs="Arial"/>
          <w:bCs/>
          <w:sz w:val="18"/>
          <w:szCs w:val="18"/>
        </w:rPr>
        <w:t xml:space="preserve"> specimens can be stored up to 48 hours at 2-8°C, for short duration. </w:t>
      </w:r>
    </w:p>
    <w:p w14:paraId="1EB2B3CE"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For longer storage, specimens can be frozen at -20°C. Thawed samples must be mixed prior to testing.</w:t>
      </w:r>
    </w:p>
    <w:p w14:paraId="48A8B975"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Do not heat inactivate before use.</w:t>
      </w:r>
    </w:p>
    <w:p w14:paraId="0BDF8C42"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7.</w:t>
      </w:r>
      <w:r>
        <w:rPr>
          <w:rFonts w:ascii="Arial" w:hAnsi="Arial" w:cs="Arial"/>
          <w:bCs/>
          <w:sz w:val="18"/>
          <w:szCs w:val="18"/>
        </w:rPr>
        <w:tab/>
        <w:t>Specimen containing precipitate or particulate matter should be clarified by centrifugation prior to use.</w:t>
      </w:r>
    </w:p>
    <w:p w14:paraId="1A146FC9"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8.</w:t>
      </w:r>
      <w:r>
        <w:rPr>
          <w:rFonts w:ascii="Arial" w:hAnsi="Arial" w:cs="Arial"/>
          <w:bCs/>
          <w:sz w:val="18"/>
          <w:szCs w:val="18"/>
        </w:rPr>
        <w:tab/>
        <w:t>Specimen should be free from particulate matter and microbial contamination.</w:t>
      </w:r>
    </w:p>
    <w:p w14:paraId="1D112127" w14:textId="77777777" w:rsidR="009B171E" w:rsidRDefault="009B171E">
      <w:pPr>
        <w:tabs>
          <w:tab w:val="left" w:pos="360"/>
        </w:tabs>
        <w:ind w:left="720" w:hanging="360"/>
        <w:jc w:val="both"/>
        <w:rPr>
          <w:rFonts w:ascii="Arial" w:hAnsi="Arial" w:cs="Arial"/>
          <w:bCs/>
          <w:sz w:val="18"/>
          <w:szCs w:val="18"/>
        </w:rPr>
      </w:pPr>
    </w:p>
    <w:p w14:paraId="3531924F"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PRECAUTIONS</w:t>
      </w:r>
    </w:p>
    <w:p w14:paraId="49C6C2EE"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 xml:space="preserve">Bring all reagents and specimen to room temperature before use. </w:t>
      </w:r>
    </w:p>
    <w:p w14:paraId="69310351"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(2) </w:t>
      </w:r>
      <w:r>
        <w:rPr>
          <w:rFonts w:ascii="Arial" w:hAnsi="Arial" w:cs="Arial"/>
          <w:bCs/>
          <w:sz w:val="18"/>
          <w:szCs w:val="18"/>
        </w:rPr>
        <w:tab/>
        <w:t xml:space="preserve">Do not pipette any material by mouth. </w:t>
      </w:r>
    </w:p>
    <w:p w14:paraId="185938FB"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(3) </w:t>
      </w:r>
      <w:r>
        <w:rPr>
          <w:rFonts w:ascii="Arial" w:hAnsi="Arial" w:cs="Arial"/>
          <w:bCs/>
          <w:sz w:val="18"/>
          <w:szCs w:val="18"/>
        </w:rPr>
        <w:tab/>
        <w:t xml:space="preserve">Do not eat, drink or smoke in the area where testing is done. </w:t>
      </w:r>
    </w:p>
    <w:p w14:paraId="31EBC702"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(4) </w:t>
      </w:r>
      <w:r>
        <w:rPr>
          <w:rFonts w:ascii="Arial" w:hAnsi="Arial" w:cs="Arial"/>
          <w:bCs/>
          <w:sz w:val="18"/>
          <w:szCs w:val="18"/>
        </w:rPr>
        <w:tab/>
        <w:t xml:space="preserve">Use protective clothing and wear gloves when handling samples. </w:t>
      </w:r>
    </w:p>
    <w:p w14:paraId="3D3E58B1"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(5) </w:t>
      </w:r>
      <w:r>
        <w:rPr>
          <w:rFonts w:ascii="Arial" w:hAnsi="Arial" w:cs="Arial"/>
          <w:bCs/>
          <w:sz w:val="18"/>
          <w:szCs w:val="18"/>
        </w:rPr>
        <w:tab/>
        <w:t xml:space="preserve">Use absorbent sheet to cover the working area. </w:t>
      </w:r>
    </w:p>
    <w:p w14:paraId="1BDD4449"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(6) </w:t>
      </w:r>
      <w:r>
        <w:rPr>
          <w:rFonts w:ascii="Arial" w:hAnsi="Arial" w:cs="Arial"/>
          <w:bCs/>
          <w:sz w:val="18"/>
          <w:szCs w:val="18"/>
        </w:rPr>
        <w:tab/>
        <w:t>Immediately clean up any spills with sodium hypochlorite.</w:t>
      </w:r>
    </w:p>
    <w:p w14:paraId="12917106"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(7) </w:t>
      </w:r>
      <w:r>
        <w:rPr>
          <w:rFonts w:ascii="Arial" w:hAnsi="Arial" w:cs="Arial"/>
          <w:bCs/>
          <w:sz w:val="18"/>
          <w:szCs w:val="18"/>
        </w:rPr>
        <w:tab/>
        <w:t xml:space="preserve">All specimens and controls should be considered potentially infectious and discarded appropriately. </w:t>
      </w:r>
    </w:p>
    <w:p w14:paraId="70A9B81C"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(8) </w:t>
      </w:r>
      <w:r>
        <w:rPr>
          <w:rFonts w:ascii="Arial" w:hAnsi="Arial" w:cs="Arial"/>
          <w:bCs/>
          <w:sz w:val="18"/>
          <w:szCs w:val="18"/>
        </w:rPr>
        <w:tab/>
        <w:t xml:space="preserve">Neutralize acid containing waste before adding hypochlorite. </w:t>
      </w:r>
    </w:p>
    <w:p w14:paraId="3A090E92"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(9) </w:t>
      </w:r>
      <w:r>
        <w:rPr>
          <w:rFonts w:ascii="Arial" w:hAnsi="Arial" w:cs="Arial"/>
          <w:bCs/>
          <w:sz w:val="18"/>
          <w:szCs w:val="18"/>
        </w:rPr>
        <w:tab/>
        <w:t xml:space="preserve">Do not use kit after the expiry date. </w:t>
      </w:r>
    </w:p>
    <w:p w14:paraId="0880CF62"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(10) Do not mix components of one kit with another.</w:t>
      </w:r>
    </w:p>
    <w:p w14:paraId="50A09BFF"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(11) Always use new tip for each specimen and reagent. </w:t>
      </w:r>
    </w:p>
    <w:p w14:paraId="3C8D64B9"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(12) Do not allow liquid from one well to mix with other wells. </w:t>
      </w:r>
    </w:p>
    <w:p w14:paraId="175DD3F1"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(13) Do not let the strips dry in between the steps.</w:t>
      </w:r>
    </w:p>
    <w:p w14:paraId="47F3572D" w14:textId="77777777" w:rsidR="009B171E" w:rsidRDefault="009B171E">
      <w:pPr>
        <w:tabs>
          <w:tab w:val="left" w:pos="360"/>
        </w:tabs>
        <w:ind w:left="720" w:hanging="360"/>
        <w:jc w:val="both"/>
        <w:rPr>
          <w:rFonts w:ascii="Arial" w:hAnsi="Arial" w:cs="Arial"/>
          <w:bCs/>
          <w:sz w:val="18"/>
          <w:szCs w:val="18"/>
        </w:rPr>
      </w:pPr>
    </w:p>
    <w:p w14:paraId="5D643B21" w14:textId="77777777" w:rsidR="009B171E" w:rsidRDefault="009B171E">
      <w:pPr>
        <w:tabs>
          <w:tab w:val="left" w:pos="360"/>
        </w:tabs>
        <w:ind w:left="720" w:hanging="360"/>
        <w:jc w:val="both"/>
        <w:rPr>
          <w:rFonts w:ascii="Arial" w:hAnsi="Arial" w:cs="Arial"/>
          <w:bCs/>
          <w:sz w:val="18"/>
          <w:szCs w:val="18"/>
        </w:rPr>
      </w:pPr>
    </w:p>
    <w:p w14:paraId="693D3C66"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REAGENT PREPARATION</w:t>
      </w:r>
    </w:p>
    <w:p w14:paraId="6D4305F8"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All reagents should be brought to room temperature (18-25°C) and mixed by gently inverting or swirling prior to use. Do not induce foaming.</w:t>
      </w:r>
    </w:p>
    <w:p w14:paraId="3F48F108" w14:textId="491B5DFD"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lastRenderedPageBreak/>
        <w:t xml:space="preserve">2. </w:t>
      </w:r>
      <w:r>
        <w:rPr>
          <w:rFonts w:ascii="Arial" w:hAnsi="Arial" w:cs="Arial"/>
          <w:bCs/>
          <w:sz w:val="18"/>
          <w:szCs w:val="18"/>
        </w:rPr>
        <w:tab/>
        <w:t>Dilute wash buffer 20 times (for example add 5ml concentrated buffer to 95</w:t>
      </w:r>
      <w:r w:rsidR="00D612B3">
        <w:rPr>
          <w:rFonts w:ascii="Arial" w:hAnsi="Arial" w:cs="Arial"/>
          <w:bCs/>
          <w:sz w:val="18"/>
          <w:szCs w:val="18"/>
        </w:rPr>
        <w:t xml:space="preserve"> </w:t>
      </w:r>
      <w:r>
        <w:rPr>
          <w:rFonts w:ascii="Arial" w:hAnsi="Arial" w:cs="Arial"/>
          <w:bCs/>
          <w:sz w:val="18"/>
          <w:szCs w:val="18"/>
        </w:rPr>
        <w:t>ml of distilled or deionized water).</w:t>
      </w:r>
    </w:p>
    <w:p w14:paraId="6C539625" w14:textId="77777777" w:rsidR="009B171E" w:rsidRDefault="009B171E">
      <w:pPr>
        <w:tabs>
          <w:tab w:val="left" w:pos="360"/>
        </w:tabs>
        <w:ind w:left="720" w:hanging="360"/>
        <w:jc w:val="both"/>
        <w:rPr>
          <w:rFonts w:ascii="Arial" w:hAnsi="Arial" w:cs="Arial"/>
          <w:bCs/>
          <w:sz w:val="18"/>
          <w:szCs w:val="18"/>
        </w:rPr>
      </w:pPr>
    </w:p>
    <w:p w14:paraId="5DB40C44"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TEST PROCEDURE</w:t>
      </w:r>
    </w:p>
    <w:p w14:paraId="5F476C3C"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Place the desired number of coated strips into the holder.</w:t>
      </w:r>
    </w:p>
    <w:p w14:paraId="52102A57"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Prepare 1:40 dilutions by adding 5µl of the test samples, negative control, positive control and calibrators to 200µl of sample diluent. Mix well.</w:t>
      </w:r>
    </w:p>
    <w:p w14:paraId="51351EB3"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Dispense 100µl of diluted serum samples, negative control, positive control and calibrator into the appropriate wells. For the reagent blank, dispense 100µl of sample diluent in A1 well position. Tap the holder to remove air bubbles from the liquid and mix well. Incubate for 45 minutes at 37°C.</w:t>
      </w:r>
    </w:p>
    <w:p w14:paraId="7DE7A3B9"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3 times with 350µl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w:t>
      </w:r>
    </w:p>
    <w:p w14:paraId="3A80E339"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Dispense 100µl of enzyme conjugate to each well and incubate for 45 minutes at 37°C.</w:t>
      </w:r>
    </w:p>
    <w:p w14:paraId="7D99D4A6"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3 times with 350µl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w:t>
      </w:r>
    </w:p>
    <w:p w14:paraId="117FE76F"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7.</w:t>
      </w:r>
      <w:r>
        <w:rPr>
          <w:rFonts w:ascii="Arial" w:hAnsi="Arial" w:cs="Arial"/>
          <w:bCs/>
          <w:sz w:val="18"/>
          <w:szCs w:val="18"/>
        </w:rPr>
        <w:tab/>
        <w:t>Dispense 100µl of TMB Substrate to each well and incubate at room temperature (18-25°C), in the dark, for 20 minutes.</w:t>
      </w:r>
    </w:p>
    <w:p w14:paraId="72DE3C00"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8.</w:t>
      </w:r>
      <w:r>
        <w:rPr>
          <w:rFonts w:ascii="Arial" w:hAnsi="Arial" w:cs="Arial"/>
          <w:bCs/>
          <w:sz w:val="18"/>
          <w:szCs w:val="18"/>
        </w:rPr>
        <w:tab/>
        <w:t>Stop the reaction by adding 100 µl of Stop Solution to each well. Gently mix for 10 seconds until the blue color completely changes to yellow.</w:t>
      </w:r>
    </w:p>
    <w:p w14:paraId="52B0D26C" w14:textId="77777777" w:rsidR="009B171E" w:rsidRDefault="00000000">
      <w:pPr>
        <w:tabs>
          <w:tab w:val="left" w:pos="360"/>
        </w:tabs>
        <w:ind w:left="720" w:hanging="360"/>
        <w:jc w:val="both"/>
        <w:rPr>
          <w:rFonts w:ascii="Arial" w:hAnsi="Arial" w:cs="Arial"/>
          <w:bCs/>
          <w:sz w:val="18"/>
          <w:szCs w:val="18"/>
        </w:rPr>
      </w:pPr>
      <w:r>
        <w:rPr>
          <w:rFonts w:ascii="Arial" w:hAnsi="Arial" w:cs="Arial"/>
          <w:bCs/>
          <w:sz w:val="18"/>
          <w:szCs w:val="18"/>
        </w:rPr>
        <w:t>9.</w:t>
      </w:r>
      <w:r>
        <w:rPr>
          <w:rFonts w:ascii="Arial" w:hAnsi="Arial" w:cs="Arial"/>
          <w:bCs/>
          <w:sz w:val="18"/>
          <w:szCs w:val="18"/>
        </w:rPr>
        <w:tab/>
        <w:t>Read the optical density at 450/630 nm with a microtiter plate reader within 15 minutes.</w:t>
      </w:r>
    </w:p>
    <w:p w14:paraId="64854DFA" w14:textId="77777777" w:rsidR="009B171E" w:rsidRDefault="009B171E">
      <w:pPr>
        <w:tabs>
          <w:tab w:val="left" w:pos="360"/>
        </w:tabs>
        <w:ind w:left="720" w:hanging="360"/>
        <w:jc w:val="both"/>
        <w:rPr>
          <w:rFonts w:ascii="Arial" w:hAnsi="Arial" w:cs="Arial"/>
          <w:bCs/>
          <w:sz w:val="18"/>
          <w:szCs w:val="18"/>
        </w:rPr>
      </w:pPr>
    </w:p>
    <w:p w14:paraId="690D5A5E" w14:textId="77777777" w:rsidR="009B171E" w:rsidRDefault="009B171E">
      <w:pPr>
        <w:tabs>
          <w:tab w:val="left" w:pos="360"/>
        </w:tabs>
        <w:ind w:left="720" w:hanging="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0"/>
      </w:tblGrid>
      <w:tr w:rsidR="009B171E" w14:paraId="7212652E" w14:textId="77777777">
        <w:tc>
          <w:tcPr>
            <w:tcW w:w="4056" w:type="dxa"/>
            <w:shd w:val="clear" w:color="auto" w:fill="auto"/>
          </w:tcPr>
          <w:p w14:paraId="4050AD3A" w14:textId="77777777" w:rsidR="009B171E" w:rsidRDefault="00000000">
            <w:pPr>
              <w:tabs>
                <w:tab w:val="left" w:pos="360"/>
              </w:tabs>
              <w:jc w:val="both"/>
              <w:rPr>
                <w:rFonts w:ascii="Arial" w:hAnsi="Arial" w:cs="Arial"/>
                <w:bCs/>
                <w:sz w:val="18"/>
                <w:szCs w:val="18"/>
              </w:rPr>
            </w:pPr>
            <w:r>
              <w:rPr>
                <w:rFonts w:ascii="Arial" w:hAnsi="Arial" w:cs="Arial"/>
                <w:bCs/>
                <w:sz w:val="18"/>
                <w:szCs w:val="18"/>
              </w:rPr>
              <w:t>Add 100µl of sample diluent in A1 Microwell as blank</w:t>
            </w:r>
          </w:p>
        </w:tc>
      </w:tr>
    </w:tbl>
    <w:p w14:paraId="46C0911E" w14:textId="77777777" w:rsidR="009B171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1312" behindDoc="0" locked="0" layoutInCell="1" allowOverlap="1" wp14:anchorId="18DB7227" wp14:editId="35B6F81E">
                <wp:simplePos x="0" y="0"/>
                <wp:positionH relativeFrom="column">
                  <wp:posOffset>1285875</wp:posOffset>
                </wp:positionH>
                <wp:positionV relativeFrom="paragraph">
                  <wp:posOffset>4445</wp:posOffset>
                </wp:positionV>
                <wp:extent cx="76200" cy="266700"/>
                <wp:effectExtent l="0" t="0" r="0" b="0"/>
                <wp:wrapNone/>
                <wp:docPr id="507549119"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8" o:spid="_x0000_s1026" o:spt="67" type="#_x0000_t67" style="position:absolute;left:0pt;margin-left:101.25pt;margin-top:0.35pt;height:21pt;width:6pt;z-index:251661312;mso-width-relative:page;mso-height-relative:page;" fillcolor="#000000" filled="t" stroked="t" coordsize="21600,21600" o:gfxdata="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rqf0rVAAAABwEAAA8AAAAAAAAAAQAgAAAA&#10;IgAAAGRycy9kb3ducmV2LnhtbFBLAQIUABQAAAAIAIdO4kCrX72HRwIAANEEAAAOAAAAAAAAAAEA&#10;IAAAACQBAABkcnMvZTJvRG9jLnhtbFBLBQYAAAAABgAGAFkBAADdBQAAAAA=&#10;" adj="16200,5400">
                <v:fill on="t" focussize="0,0"/>
                <v:stroke color="#000000" miterlimit="8" joinstyle="miter"/>
                <v:imagedata o:title=""/>
                <o:lock v:ext="edit" aspectratio="f"/>
                <v:textbox style="layout-flow:vertical-ideographic;"/>
              </v:shape>
            </w:pict>
          </mc:Fallback>
        </mc:AlternateContent>
      </w:r>
    </w:p>
    <w:p w14:paraId="648C0C08" w14:textId="77777777" w:rsidR="009B171E" w:rsidRDefault="009B171E">
      <w:pPr>
        <w:tabs>
          <w:tab w:val="left" w:pos="360"/>
        </w:tabs>
        <w:ind w:left="360" w:hanging="360"/>
        <w:jc w:val="both"/>
        <w:rPr>
          <w:rFonts w:ascii="Arial" w:hAnsi="Arial" w:cs="Arial"/>
          <w:bCs/>
          <w:sz w:val="18"/>
          <w:szCs w:val="18"/>
        </w:rPr>
      </w:pPr>
    </w:p>
    <w:tbl>
      <w:tblPr>
        <w:tblW w:w="3740"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40"/>
      </w:tblGrid>
      <w:tr w:rsidR="009B171E" w14:paraId="501F5615" w14:textId="77777777">
        <w:trPr>
          <w:trHeight w:val="332"/>
        </w:trPr>
        <w:tc>
          <w:tcPr>
            <w:tcW w:w="3740" w:type="dxa"/>
            <w:shd w:val="clear" w:color="auto" w:fill="auto"/>
          </w:tcPr>
          <w:p w14:paraId="6BB66A77" w14:textId="77777777" w:rsidR="009B171E" w:rsidRDefault="00000000">
            <w:pPr>
              <w:tabs>
                <w:tab w:val="left" w:pos="360"/>
              </w:tabs>
              <w:jc w:val="both"/>
              <w:rPr>
                <w:rFonts w:ascii="Arial" w:hAnsi="Arial" w:cs="Arial"/>
                <w:bCs/>
                <w:sz w:val="18"/>
                <w:szCs w:val="18"/>
              </w:rPr>
            </w:pPr>
            <w:r>
              <w:rPr>
                <w:rFonts w:ascii="Arial" w:hAnsi="Arial" w:cs="Arial"/>
                <w:bCs/>
                <w:sz w:val="18"/>
                <w:szCs w:val="18"/>
              </w:rPr>
              <w:t>Add 100µl diluted NC, PC, Calibrators and Samples into the respective Microwells</w:t>
            </w:r>
          </w:p>
        </w:tc>
      </w:tr>
    </w:tbl>
    <w:p w14:paraId="5D365166" w14:textId="77777777" w:rsidR="009B171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2336" behindDoc="0" locked="0" layoutInCell="1" allowOverlap="1" wp14:anchorId="47596858" wp14:editId="4C04E2D1">
                <wp:simplePos x="0" y="0"/>
                <wp:positionH relativeFrom="column">
                  <wp:posOffset>1276350</wp:posOffset>
                </wp:positionH>
                <wp:positionV relativeFrom="paragraph">
                  <wp:posOffset>-2540</wp:posOffset>
                </wp:positionV>
                <wp:extent cx="76200" cy="266700"/>
                <wp:effectExtent l="0" t="0" r="0" b="0"/>
                <wp:wrapNone/>
                <wp:docPr id="1217294194"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9" o:spid="_x0000_s1026" o:spt="67" type="#_x0000_t67" style="position:absolute;left:0pt;margin-left:100.5pt;margin-top:-0.2pt;height:21pt;width:6pt;z-index:251662336;mso-width-relative:page;mso-height-relative:page;" fillcolor="#000000" filled="t" stroked="t" coordsize="21600,21600" o:gfxdata="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dUtjt1wAAAAgBAAAPAAAAAAAAAAEA&#10;IAAAACIAAABkcnMvZG93bnJldi54bWxQSwECFAAUAAAACACHTuJA/W1xL0kCAADSBAAADgAAAAAA&#10;AAABACAAAAAm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07DD93DE" w14:textId="77777777" w:rsidR="009B171E" w:rsidRDefault="009B171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9B171E" w14:paraId="3F7584E1" w14:textId="77777777">
        <w:trPr>
          <w:trHeight w:val="376"/>
        </w:trPr>
        <w:tc>
          <w:tcPr>
            <w:tcW w:w="3604" w:type="dxa"/>
            <w:shd w:val="clear" w:color="auto" w:fill="auto"/>
          </w:tcPr>
          <w:p w14:paraId="5A7E6F02" w14:textId="77777777" w:rsidR="009B171E" w:rsidRDefault="00000000">
            <w:pPr>
              <w:tabs>
                <w:tab w:val="left" w:pos="360"/>
              </w:tabs>
              <w:jc w:val="both"/>
              <w:rPr>
                <w:rFonts w:ascii="Arial" w:hAnsi="Arial" w:cs="Arial"/>
                <w:bCs/>
                <w:i/>
                <w:iCs/>
                <w:sz w:val="18"/>
                <w:szCs w:val="18"/>
              </w:rPr>
            </w:pPr>
            <w:r>
              <w:rPr>
                <w:rFonts w:ascii="Arial" w:hAnsi="Arial" w:cs="Arial"/>
                <w:bCs/>
                <w:sz w:val="18"/>
                <w:szCs w:val="18"/>
              </w:rPr>
              <w:t>Apply plate sealer and incubate for 45 minutes at 37°C</w:t>
            </w:r>
          </w:p>
        </w:tc>
      </w:tr>
    </w:tbl>
    <w:p w14:paraId="1A778DD2" w14:textId="77777777" w:rsidR="009B171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4384" behindDoc="0" locked="0" layoutInCell="1" allowOverlap="1" wp14:anchorId="727E4683" wp14:editId="71640094">
                <wp:simplePos x="0" y="0"/>
                <wp:positionH relativeFrom="column">
                  <wp:posOffset>1295400</wp:posOffset>
                </wp:positionH>
                <wp:positionV relativeFrom="paragraph">
                  <wp:posOffset>10160</wp:posOffset>
                </wp:positionV>
                <wp:extent cx="76200" cy="266700"/>
                <wp:effectExtent l="19050" t="0" r="38100" b="38100"/>
                <wp:wrapNone/>
                <wp:docPr id="150492166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2pt;margin-top:0.8pt;height:21pt;width:6pt;z-index:251664384;mso-width-relative:page;mso-height-relative:page;" fillcolor="#000000" filled="t" stroked="t" coordsize="21600,21600" o:gfxdata="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hfylg9YAAAAIAQAADwAAAAAAAAABACAA&#10;AAAiAAAAZHJzL2Rvd25yZXYueG1sUEsBAhQAFAAAAAgAh07iQK+/WthIAgAA0gQAAA4AAAAAAAAA&#10;AQAgAAAAJQ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77888235" w14:textId="77777777" w:rsidR="009B171E" w:rsidRDefault="009B171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9B171E" w14:paraId="2EA4EDDF" w14:textId="77777777">
        <w:trPr>
          <w:trHeight w:val="303"/>
        </w:trPr>
        <w:tc>
          <w:tcPr>
            <w:tcW w:w="3604" w:type="dxa"/>
            <w:shd w:val="clear" w:color="auto" w:fill="auto"/>
          </w:tcPr>
          <w:p w14:paraId="4AF8320D" w14:textId="77777777" w:rsidR="009B171E" w:rsidRDefault="00000000">
            <w:pPr>
              <w:tabs>
                <w:tab w:val="left" w:pos="360"/>
              </w:tabs>
              <w:jc w:val="both"/>
              <w:rPr>
                <w:rFonts w:ascii="Arial" w:hAnsi="Arial" w:cs="Arial"/>
                <w:bCs/>
                <w:sz w:val="18"/>
                <w:szCs w:val="18"/>
              </w:rPr>
            </w:pPr>
            <w:r>
              <w:rPr>
                <w:rFonts w:ascii="Arial" w:hAnsi="Arial" w:cs="Arial"/>
                <w:bCs/>
                <w:sz w:val="18"/>
                <w:szCs w:val="18"/>
              </w:rPr>
              <w:t>Wash micro-wells 3 times with 350µl diluted wash buffer</w:t>
            </w:r>
          </w:p>
        </w:tc>
      </w:tr>
    </w:tbl>
    <w:p w14:paraId="084652FD" w14:textId="77777777" w:rsidR="009B171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0288" behindDoc="0" locked="0" layoutInCell="1" allowOverlap="1" wp14:anchorId="24772AAC" wp14:editId="0AACDA89">
                <wp:simplePos x="0" y="0"/>
                <wp:positionH relativeFrom="column">
                  <wp:posOffset>1285875</wp:posOffset>
                </wp:positionH>
                <wp:positionV relativeFrom="paragraph">
                  <wp:posOffset>-1270</wp:posOffset>
                </wp:positionV>
                <wp:extent cx="76200" cy="266700"/>
                <wp:effectExtent l="0" t="0" r="0" b="0"/>
                <wp:wrapNone/>
                <wp:docPr id="102010268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1.25pt;margin-top:-0.1pt;height:21pt;width:6pt;z-index:251660288;mso-width-relative:page;mso-height-relative:page;" fillcolor="#000000" filled="t" stroked="t" coordsize="21600,21600" o:gfxdata="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QU/RF1wAAAAgBAAAPAAAAAAAAAAEAIAAA&#10;ACIAAABkcnMvZG93bnJldi54bWxQSwECFAAUAAAACACHTuJALMoxjUYCAADSBAAADgAAAAAAAAAB&#10;ACAAAAAm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0CEA789F" w14:textId="77777777" w:rsidR="009B171E" w:rsidRDefault="009B171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9B171E" w14:paraId="2D53F375" w14:textId="77777777">
        <w:tc>
          <w:tcPr>
            <w:tcW w:w="3604" w:type="dxa"/>
            <w:shd w:val="clear" w:color="auto" w:fill="auto"/>
          </w:tcPr>
          <w:p w14:paraId="1A2234E5" w14:textId="77777777" w:rsidR="009B171E" w:rsidRDefault="00000000">
            <w:pPr>
              <w:tabs>
                <w:tab w:val="left" w:pos="360"/>
              </w:tabs>
              <w:jc w:val="both"/>
              <w:rPr>
                <w:rFonts w:ascii="Arial" w:hAnsi="Arial" w:cs="Arial"/>
                <w:bCs/>
                <w:sz w:val="18"/>
                <w:szCs w:val="18"/>
              </w:rPr>
            </w:pPr>
            <w:r>
              <w:rPr>
                <w:rFonts w:ascii="Arial" w:hAnsi="Arial" w:cs="Arial"/>
                <w:bCs/>
                <w:sz w:val="18"/>
                <w:szCs w:val="18"/>
              </w:rPr>
              <w:t>Add 100µl Enzyme conjugate in each well</w:t>
            </w:r>
          </w:p>
        </w:tc>
      </w:tr>
    </w:tbl>
    <w:p w14:paraId="08AFA72C" w14:textId="77777777" w:rsidR="009B171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5408" behindDoc="0" locked="0" layoutInCell="1" allowOverlap="1" wp14:anchorId="24486947" wp14:editId="08FB826B">
                <wp:simplePos x="0" y="0"/>
                <wp:positionH relativeFrom="column">
                  <wp:posOffset>1304925</wp:posOffset>
                </wp:positionH>
                <wp:positionV relativeFrom="paragraph">
                  <wp:posOffset>13335</wp:posOffset>
                </wp:positionV>
                <wp:extent cx="76200" cy="266700"/>
                <wp:effectExtent l="19050" t="0" r="38100" b="38100"/>
                <wp:wrapNone/>
                <wp:docPr id="1837099124"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2.75pt;margin-top:1.05pt;height:21pt;width:6pt;z-index:251665408;mso-width-relative:page;mso-height-relative:page;" fillcolor="#000000" filled="t" stroked="t" coordsize="21600,21600" o:gfxdata="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HlTc4rXAAAACAEAAA8AAAAAAAAAAQAg&#10;AAAAIgAAAGRycy9kb3ducmV2LnhtbFBLAQIUABQAAAAIAIdO4kBfMnJcSAIAANI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55AD0A64" w14:textId="77777777" w:rsidR="009B171E" w:rsidRDefault="009B171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9B171E" w14:paraId="11CB3471" w14:textId="77777777">
        <w:tc>
          <w:tcPr>
            <w:tcW w:w="3604" w:type="dxa"/>
            <w:shd w:val="clear" w:color="auto" w:fill="auto"/>
          </w:tcPr>
          <w:p w14:paraId="6A747C23" w14:textId="77777777" w:rsidR="009B171E" w:rsidRDefault="00000000">
            <w:pPr>
              <w:tabs>
                <w:tab w:val="left" w:pos="360"/>
              </w:tabs>
              <w:jc w:val="both"/>
              <w:rPr>
                <w:rFonts w:ascii="Arial" w:hAnsi="Arial" w:cs="Arial"/>
                <w:bCs/>
                <w:sz w:val="18"/>
                <w:szCs w:val="18"/>
              </w:rPr>
            </w:pPr>
            <w:r>
              <w:rPr>
                <w:rFonts w:ascii="Arial" w:hAnsi="Arial" w:cs="Arial"/>
                <w:bCs/>
                <w:sz w:val="18"/>
                <w:szCs w:val="18"/>
              </w:rPr>
              <w:t>Apply plate sealer and incubate for 45 minutes at 37°C</w:t>
            </w:r>
          </w:p>
        </w:tc>
      </w:tr>
    </w:tbl>
    <w:p w14:paraId="3BA791D7" w14:textId="77777777" w:rsidR="009B171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3360" behindDoc="0" locked="0" layoutInCell="1" allowOverlap="1" wp14:anchorId="33C6EA22" wp14:editId="7110FB15">
                <wp:simplePos x="0" y="0"/>
                <wp:positionH relativeFrom="column">
                  <wp:posOffset>1304925</wp:posOffset>
                </wp:positionH>
                <wp:positionV relativeFrom="paragraph">
                  <wp:posOffset>3810</wp:posOffset>
                </wp:positionV>
                <wp:extent cx="76200" cy="266700"/>
                <wp:effectExtent l="0" t="0" r="0" b="0"/>
                <wp:wrapNone/>
                <wp:docPr id="1395388771"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102.75pt;margin-top:0.3pt;height:21pt;width:6pt;z-index:251663360;mso-width-relative:page;mso-height-relative:page;" fillcolor="#000000" filled="t" stroked="t" coordsize="21600,21600" o:gfxdata="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wfzkE1QAAAAcBAAAPAAAAAAAAAAEAIAAA&#10;ACIAAABkcnMvZG93bnJldi54bWxQSwECFAAUAAAACACHTuJACiYTDUgCAADS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2692C730" w14:textId="77777777" w:rsidR="009B171E" w:rsidRDefault="009B171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9B171E" w14:paraId="08D4A2DC" w14:textId="77777777">
        <w:trPr>
          <w:trHeight w:val="303"/>
        </w:trPr>
        <w:tc>
          <w:tcPr>
            <w:tcW w:w="3604" w:type="dxa"/>
            <w:shd w:val="clear" w:color="auto" w:fill="auto"/>
          </w:tcPr>
          <w:p w14:paraId="67F04D5C" w14:textId="77777777" w:rsidR="009B171E" w:rsidRDefault="00000000">
            <w:pPr>
              <w:tabs>
                <w:tab w:val="left" w:pos="360"/>
              </w:tabs>
              <w:jc w:val="both"/>
              <w:rPr>
                <w:rFonts w:ascii="Arial" w:hAnsi="Arial" w:cs="Arial"/>
                <w:bCs/>
                <w:sz w:val="18"/>
                <w:szCs w:val="18"/>
              </w:rPr>
            </w:pPr>
            <w:r>
              <w:rPr>
                <w:rFonts w:ascii="Arial" w:hAnsi="Arial" w:cs="Arial"/>
                <w:bCs/>
                <w:sz w:val="18"/>
                <w:szCs w:val="18"/>
              </w:rPr>
              <w:t>Wash micro-wells 3 times with 350µl diluted wash buffer</w:t>
            </w:r>
          </w:p>
        </w:tc>
      </w:tr>
    </w:tbl>
    <w:p w14:paraId="60787CA1" w14:textId="77777777" w:rsidR="009B171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9504" behindDoc="0" locked="0" layoutInCell="1" allowOverlap="1" wp14:anchorId="337D4193" wp14:editId="6749826F">
                <wp:simplePos x="0" y="0"/>
                <wp:positionH relativeFrom="column">
                  <wp:posOffset>1314450</wp:posOffset>
                </wp:positionH>
                <wp:positionV relativeFrom="paragraph">
                  <wp:posOffset>1270</wp:posOffset>
                </wp:positionV>
                <wp:extent cx="76200" cy="266700"/>
                <wp:effectExtent l="19050" t="0" r="38100" b="38100"/>
                <wp:wrapNone/>
                <wp:docPr id="27237125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3.5pt;margin-top:0.1pt;height:21pt;width:6pt;z-index:251669504;mso-width-relative:page;mso-height-relative:page;" fillcolor="#000000" filled="t" stroked="t" coordsize="21600,21600" o:gfxdata="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EzLQU1QAAAAcBAAAPAAAAAAAAAAEAIAAA&#10;ACIAAABkcnMvZG93bnJldi54bWxQSwECFAAUAAAACACHTuJAPZ7ih0gCAADR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09521ADC" w14:textId="77777777" w:rsidR="009B171E" w:rsidRDefault="009B171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9B171E" w14:paraId="19F0DEDF" w14:textId="77777777">
        <w:tc>
          <w:tcPr>
            <w:tcW w:w="3604" w:type="dxa"/>
            <w:shd w:val="clear" w:color="auto" w:fill="auto"/>
          </w:tcPr>
          <w:p w14:paraId="2DDD32C1" w14:textId="77777777" w:rsidR="009B171E" w:rsidRDefault="00000000">
            <w:pPr>
              <w:tabs>
                <w:tab w:val="left" w:pos="360"/>
              </w:tabs>
              <w:jc w:val="both"/>
              <w:rPr>
                <w:rFonts w:ascii="Arial" w:hAnsi="Arial" w:cs="Arial"/>
                <w:bCs/>
                <w:sz w:val="18"/>
                <w:szCs w:val="18"/>
              </w:rPr>
            </w:pPr>
            <w:r>
              <w:rPr>
                <w:rFonts w:ascii="Arial" w:hAnsi="Arial" w:cs="Arial"/>
                <w:bCs/>
                <w:sz w:val="18"/>
                <w:szCs w:val="18"/>
              </w:rPr>
              <w:t>Add 100µl substrate in each well</w:t>
            </w:r>
          </w:p>
        </w:tc>
      </w:tr>
    </w:tbl>
    <w:p w14:paraId="48A2D2CC" w14:textId="77777777" w:rsidR="009B171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6432" behindDoc="0" locked="0" layoutInCell="1" allowOverlap="1" wp14:anchorId="0A1DDAF5" wp14:editId="36659B6E">
                <wp:simplePos x="0" y="0"/>
                <wp:positionH relativeFrom="column">
                  <wp:posOffset>1304925</wp:posOffset>
                </wp:positionH>
                <wp:positionV relativeFrom="paragraph">
                  <wp:posOffset>13335</wp:posOffset>
                </wp:positionV>
                <wp:extent cx="76200" cy="266700"/>
                <wp:effectExtent l="19050" t="0" r="38100" b="38100"/>
                <wp:wrapNone/>
                <wp:docPr id="180786004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2.75pt;margin-top:1.05pt;height:21pt;width:6pt;z-index:251666432;mso-width-relative:page;mso-height-relative:page;" fillcolor="#000000" filled="t" stroked="t" coordsize="21600,21600" o:gfxdata="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HlTc4rXAAAACAEAAA8AAAAAAAAAAQAg&#10;AAAAIgAAAGRycy9kb3ducmV2LnhtbFBLAQIUABQAAAAIAIdO4kCMTzFVSAIAANI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297DC862" w14:textId="77777777" w:rsidR="009B171E" w:rsidRDefault="009B171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9B171E" w14:paraId="2FD390C5" w14:textId="77777777">
        <w:tc>
          <w:tcPr>
            <w:tcW w:w="3604" w:type="dxa"/>
            <w:shd w:val="clear" w:color="auto" w:fill="auto"/>
          </w:tcPr>
          <w:p w14:paraId="597D1D22" w14:textId="77777777" w:rsidR="009B171E" w:rsidRDefault="00000000">
            <w:pPr>
              <w:tabs>
                <w:tab w:val="left" w:pos="360"/>
              </w:tabs>
              <w:jc w:val="both"/>
              <w:rPr>
                <w:rFonts w:ascii="Arial" w:hAnsi="Arial" w:cs="Arial"/>
                <w:bCs/>
                <w:sz w:val="18"/>
                <w:szCs w:val="18"/>
              </w:rPr>
            </w:pPr>
            <w:r>
              <w:rPr>
                <w:rFonts w:ascii="Arial" w:hAnsi="Arial" w:cs="Arial"/>
                <w:bCs/>
                <w:sz w:val="18"/>
                <w:szCs w:val="18"/>
              </w:rPr>
              <w:t xml:space="preserve">Apply plate sealer and incubate for 20 minutes at 18-25°C in dark  </w:t>
            </w:r>
          </w:p>
        </w:tc>
      </w:tr>
    </w:tbl>
    <w:p w14:paraId="6265B33A" w14:textId="77777777" w:rsidR="009B171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7456" behindDoc="0" locked="0" layoutInCell="1" allowOverlap="1" wp14:anchorId="7308AE2A" wp14:editId="2F0E6DFB">
                <wp:simplePos x="0" y="0"/>
                <wp:positionH relativeFrom="column">
                  <wp:posOffset>1352550</wp:posOffset>
                </wp:positionH>
                <wp:positionV relativeFrom="paragraph">
                  <wp:posOffset>17145</wp:posOffset>
                </wp:positionV>
                <wp:extent cx="76200" cy="266700"/>
                <wp:effectExtent l="19050" t="0" r="38100" b="38100"/>
                <wp:wrapNone/>
                <wp:docPr id="2107861066"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106.5pt;margin-top:1.35pt;height:21pt;width:6pt;z-index:251667456;mso-width-relative:page;mso-height-relative:page;" fillcolor="#000000" filled="t" stroked="t" coordsize="21600,21600" o:gfxdata="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S3Iqo1wAAAAgBAAAPAAAAAAAAAAEA&#10;IAAAACIAAABkcnMvZG93bnJldi54bWxQSwECFAAUAAAACACHTuJAAmsalkkCAADSBAAADgAAAAAA&#10;AAABACAAAAAm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729993DB" w14:textId="77777777" w:rsidR="009B171E" w:rsidRDefault="009B171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9B171E" w14:paraId="4E1EE2F9" w14:textId="77777777">
        <w:tc>
          <w:tcPr>
            <w:tcW w:w="3604" w:type="dxa"/>
            <w:shd w:val="clear" w:color="auto" w:fill="auto"/>
          </w:tcPr>
          <w:p w14:paraId="08CA25F5" w14:textId="77777777" w:rsidR="009B171E" w:rsidRDefault="00000000">
            <w:pPr>
              <w:tabs>
                <w:tab w:val="left" w:pos="360"/>
              </w:tabs>
              <w:jc w:val="both"/>
              <w:rPr>
                <w:rFonts w:ascii="Arial" w:hAnsi="Arial" w:cs="Arial"/>
                <w:bCs/>
                <w:sz w:val="18"/>
                <w:szCs w:val="18"/>
              </w:rPr>
            </w:pPr>
            <w:r>
              <w:rPr>
                <w:rFonts w:ascii="Arial" w:hAnsi="Arial" w:cs="Arial"/>
                <w:bCs/>
                <w:sz w:val="18"/>
                <w:szCs w:val="18"/>
              </w:rPr>
              <w:t>Add 100µl stop solution in each well</w:t>
            </w:r>
          </w:p>
        </w:tc>
      </w:tr>
    </w:tbl>
    <w:p w14:paraId="11F6426D" w14:textId="77777777" w:rsidR="009B171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8480" behindDoc="0" locked="0" layoutInCell="1" allowOverlap="1" wp14:anchorId="579DFF3D" wp14:editId="6355A4D2">
                <wp:simplePos x="0" y="0"/>
                <wp:positionH relativeFrom="column">
                  <wp:posOffset>1362075</wp:posOffset>
                </wp:positionH>
                <wp:positionV relativeFrom="paragraph">
                  <wp:posOffset>38735</wp:posOffset>
                </wp:positionV>
                <wp:extent cx="76200" cy="266700"/>
                <wp:effectExtent l="19050" t="0" r="38100" b="38100"/>
                <wp:wrapNone/>
                <wp:docPr id="304601607"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107.25pt;margin-top:3.05pt;height:21pt;width:6pt;z-index:251668480;mso-width-relative:page;mso-height-relative:page;" fillcolor="#000000" filled="t" stroked="t" coordsize="21600,21600" o:gfxdata="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HK+FRrXAAAACAEAAA8AAAAAAAAAAQAg&#10;AAAAIgAAAGRycy9kb3ducmV2LnhtbFBLAQIUABQAAAAIAIdO4kCg1t6YSAIAANE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2F5F0C84" w14:textId="77777777" w:rsidR="009B171E" w:rsidRDefault="009B171E">
      <w:pPr>
        <w:tabs>
          <w:tab w:val="left" w:pos="360"/>
        </w:tabs>
        <w:ind w:left="360" w:hanging="360"/>
        <w:jc w:val="both"/>
        <w:rPr>
          <w:rFonts w:ascii="Arial" w:hAnsi="Arial" w:cs="Arial"/>
          <w:bCs/>
          <w:sz w:val="18"/>
          <w:szCs w:val="18"/>
        </w:rPr>
      </w:pPr>
    </w:p>
    <w:p w14:paraId="6C6FF147" w14:textId="77777777" w:rsidR="009B171E" w:rsidRDefault="009B171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9B171E" w14:paraId="09A79C99" w14:textId="77777777">
        <w:tc>
          <w:tcPr>
            <w:tcW w:w="3604" w:type="dxa"/>
            <w:shd w:val="clear" w:color="auto" w:fill="auto"/>
          </w:tcPr>
          <w:p w14:paraId="1D881C05" w14:textId="77777777" w:rsidR="009B171E" w:rsidRDefault="00000000">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7E2F5692" w14:textId="77777777" w:rsidR="009B171E" w:rsidRDefault="009B171E">
      <w:pPr>
        <w:tabs>
          <w:tab w:val="left" w:pos="360"/>
        </w:tabs>
        <w:ind w:left="360" w:hanging="360"/>
        <w:jc w:val="both"/>
        <w:rPr>
          <w:rFonts w:ascii="Arial" w:hAnsi="Arial" w:cs="Arial"/>
          <w:bCs/>
          <w:sz w:val="18"/>
          <w:szCs w:val="18"/>
        </w:rPr>
      </w:pPr>
    </w:p>
    <w:p w14:paraId="791919B2" w14:textId="77777777" w:rsidR="009B171E" w:rsidRDefault="009B171E">
      <w:pPr>
        <w:tabs>
          <w:tab w:val="left" w:pos="360"/>
        </w:tabs>
        <w:ind w:left="360" w:hanging="360"/>
        <w:jc w:val="both"/>
        <w:rPr>
          <w:rFonts w:ascii="Arial" w:hAnsi="Arial" w:cs="Arial"/>
          <w:bCs/>
          <w:sz w:val="18"/>
          <w:szCs w:val="18"/>
        </w:rPr>
      </w:pPr>
    </w:p>
    <w:p w14:paraId="52FBA8D7" w14:textId="77777777" w:rsidR="009B171E" w:rsidRDefault="00000000">
      <w:pPr>
        <w:tabs>
          <w:tab w:val="left" w:pos="360"/>
        </w:tabs>
        <w:jc w:val="both"/>
        <w:rPr>
          <w:rFonts w:ascii="Arial" w:hAnsi="Arial" w:cs="Arial"/>
          <w:bCs/>
          <w:sz w:val="18"/>
          <w:szCs w:val="18"/>
        </w:rPr>
      </w:pPr>
      <w:r>
        <w:rPr>
          <w:rFonts w:ascii="Arial" w:hAnsi="Arial" w:cs="Arial"/>
          <w:bCs/>
          <w:sz w:val="18"/>
          <w:szCs w:val="18"/>
        </w:rPr>
        <w:t>RUN CRITERIA</w:t>
      </w:r>
    </w:p>
    <w:p w14:paraId="1B891E98" w14:textId="77777777" w:rsidR="009B171E" w:rsidRDefault="00000000">
      <w:pPr>
        <w:tabs>
          <w:tab w:val="left" w:pos="360"/>
        </w:tabs>
        <w:jc w:val="both"/>
        <w:rPr>
          <w:rFonts w:ascii="Arial" w:hAnsi="Arial" w:cs="Arial"/>
          <w:bCs/>
          <w:sz w:val="18"/>
          <w:szCs w:val="18"/>
        </w:rPr>
      </w:pPr>
      <w:r>
        <w:rPr>
          <w:rFonts w:ascii="Arial" w:hAnsi="Arial" w:cs="Arial"/>
          <w:bCs/>
          <w:sz w:val="18"/>
          <w:szCs w:val="18"/>
        </w:rPr>
        <w:t>The test run may be considered valid provided the following criteria are met:</w:t>
      </w:r>
    </w:p>
    <w:p w14:paraId="76676291" w14:textId="77777777" w:rsidR="009B171E" w:rsidRDefault="00000000">
      <w:pPr>
        <w:tabs>
          <w:tab w:val="left" w:pos="360"/>
        </w:tabs>
        <w:ind w:left="36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The O.D. value of the reagent blank against air from a microwell reader should be less than 0.250.</w:t>
      </w:r>
    </w:p>
    <w:p w14:paraId="773D3B1A" w14:textId="77777777" w:rsidR="009B171E" w:rsidRDefault="00000000">
      <w:pPr>
        <w:tabs>
          <w:tab w:val="left" w:pos="360"/>
        </w:tabs>
        <w:ind w:left="360" w:hanging="360"/>
        <w:jc w:val="both"/>
        <w:rPr>
          <w:rFonts w:ascii="Arial" w:hAnsi="Arial" w:cs="Arial"/>
          <w:bCs/>
          <w:sz w:val="18"/>
          <w:szCs w:val="18"/>
        </w:rPr>
      </w:pPr>
      <w:r>
        <w:rPr>
          <w:rFonts w:ascii="Arial" w:hAnsi="Arial" w:cs="Arial"/>
          <w:bCs/>
          <w:sz w:val="18"/>
          <w:szCs w:val="18"/>
        </w:rPr>
        <w:t xml:space="preserve">2.   </w:t>
      </w:r>
      <w:r>
        <w:rPr>
          <w:rFonts w:ascii="Arial" w:hAnsi="Arial" w:cs="Arial"/>
          <w:bCs/>
          <w:sz w:val="18"/>
          <w:szCs w:val="18"/>
        </w:rPr>
        <w:tab/>
        <w:t>If the O.D. value of the Cut-Off Calibrator is lower than 0.250, the test is not valid and must be repeated.</w:t>
      </w:r>
    </w:p>
    <w:p w14:paraId="031139FA" w14:textId="77777777" w:rsidR="009B171E" w:rsidRDefault="00000000">
      <w:pPr>
        <w:tabs>
          <w:tab w:val="left" w:pos="360"/>
        </w:tabs>
        <w:ind w:left="36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The </w:t>
      </w:r>
      <w:proofErr w:type="spellStart"/>
      <w:r>
        <w:rPr>
          <w:rFonts w:ascii="Arial" w:hAnsi="Arial" w:cs="Arial"/>
          <w:bCs/>
          <w:sz w:val="18"/>
          <w:szCs w:val="18"/>
        </w:rPr>
        <w:t>Toxo</w:t>
      </w:r>
      <w:proofErr w:type="spellEnd"/>
      <w:r>
        <w:rPr>
          <w:rFonts w:ascii="Arial" w:hAnsi="Arial" w:cs="Arial"/>
          <w:bCs/>
          <w:sz w:val="18"/>
          <w:szCs w:val="18"/>
        </w:rPr>
        <w:t xml:space="preserve"> G Index for Negative and Positive Control should be in the range stated on the labels.</w:t>
      </w:r>
    </w:p>
    <w:p w14:paraId="46E9E417" w14:textId="77777777" w:rsidR="009B171E" w:rsidRDefault="009B171E">
      <w:pPr>
        <w:tabs>
          <w:tab w:val="left" w:pos="360"/>
        </w:tabs>
        <w:jc w:val="both"/>
        <w:rPr>
          <w:rFonts w:ascii="Arial" w:hAnsi="Arial" w:cs="Arial"/>
          <w:bCs/>
          <w:sz w:val="18"/>
          <w:szCs w:val="18"/>
        </w:rPr>
      </w:pPr>
    </w:p>
    <w:p w14:paraId="15E03002" w14:textId="77777777" w:rsidR="009B171E" w:rsidRDefault="00000000">
      <w:pPr>
        <w:tabs>
          <w:tab w:val="left" w:pos="360"/>
        </w:tabs>
        <w:jc w:val="both"/>
        <w:rPr>
          <w:rFonts w:ascii="Arial" w:hAnsi="Arial" w:cs="Arial"/>
          <w:bCs/>
          <w:sz w:val="18"/>
          <w:szCs w:val="18"/>
        </w:rPr>
      </w:pPr>
      <w:r>
        <w:rPr>
          <w:rFonts w:ascii="Arial" w:hAnsi="Arial" w:cs="Arial"/>
          <w:bCs/>
          <w:sz w:val="18"/>
          <w:szCs w:val="18"/>
        </w:rPr>
        <w:t>AVIDITY TESTING</w:t>
      </w:r>
    </w:p>
    <w:p w14:paraId="549E8B8D" w14:textId="77777777" w:rsidR="009B171E" w:rsidRDefault="00000000">
      <w:pPr>
        <w:tabs>
          <w:tab w:val="left" w:pos="360"/>
        </w:tabs>
        <w:jc w:val="both"/>
        <w:rPr>
          <w:rFonts w:ascii="Arial" w:hAnsi="Arial" w:cs="Arial"/>
          <w:bCs/>
          <w:sz w:val="18"/>
          <w:szCs w:val="18"/>
        </w:rPr>
      </w:pPr>
      <w:r>
        <w:rPr>
          <w:rFonts w:ascii="Arial" w:hAnsi="Arial" w:cs="Arial"/>
          <w:bCs/>
          <w:sz w:val="18"/>
          <w:szCs w:val="18"/>
        </w:rPr>
        <w:t xml:space="preserve">Avidity is a measure of antigen to antibody binding. Avidity Test helps in discriminating primary infection from secondary infection. </w:t>
      </w:r>
    </w:p>
    <w:p w14:paraId="615C7D5B" w14:textId="77777777" w:rsidR="009B171E" w:rsidRDefault="00000000">
      <w:pPr>
        <w:tabs>
          <w:tab w:val="left" w:pos="360"/>
        </w:tabs>
        <w:jc w:val="both"/>
        <w:rPr>
          <w:rFonts w:ascii="Arial" w:hAnsi="Arial" w:cs="Arial"/>
          <w:bCs/>
          <w:sz w:val="18"/>
          <w:szCs w:val="18"/>
        </w:rPr>
      </w:pPr>
      <w:r>
        <w:rPr>
          <w:rFonts w:ascii="Arial" w:hAnsi="Arial" w:cs="Arial"/>
          <w:bCs/>
          <w:sz w:val="18"/>
          <w:szCs w:val="18"/>
        </w:rPr>
        <w:t xml:space="preserve">Sometimes it is not sufficient to test for IgM antibodies, as the presence of this class may be due to the persistence of IgM antibodies due to past infection or asymptomatic re-infection without risk for the fetus. For this </w:t>
      </w:r>
      <w:proofErr w:type="gramStart"/>
      <w:r>
        <w:rPr>
          <w:rFonts w:ascii="Arial" w:hAnsi="Arial" w:cs="Arial"/>
          <w:bCs/>
          <w:sz w:val="18"/>
          <w:szCs w:val="18"/>
        </w:rPr>
        <w:t>reason</w:t>
      </w:r>
      <w:proofErr w:type="gramEnd"/>
      <w:r>
        <w:rPr>
          <w:rFonts w:ascii="Arial" w:hAnsi="Arial" w:cs="Arial"/>
          <w:bCs/>
          <w:sz w:val="18"/>
          <w:szCs w:val="18"/>
        </w:rPr>
        <w:t xml:space="preserve"> it is useful to </w:t>
      </w:r>
      <w:proofErr w:type="gramStart"/>
      <w:r>
        <w:rPr>
          <w:rFonts w:ascii="Arial" w:hAnsi="Arial" w:cs="Arial"/>
          <w:bCs/>
          <w:sz w:val="18"/>
          <w:szCs w:val="18"/>
        </w:rPr>
        <w:t>assay</w:t>
      </w:r>
      <w:proofErr w:type="gramEnd"/>
      <w:r>
        <w:rPr>
          <w:rFonts w:ascii="Arial" w:hAnsi="Arial" w:cs="Arial"/>
          <w:bCs/>
          <w:sz w:val="18"/>
          <w:szCs w:val="18"/>
        </w:rPr>
        <w:t xml:space="preserve"> the avidity of IgG antibodies. The presence of low avidity is therefore an indication of recent or current infection. The avidity of IgG antibodies can be assayed with this same kit using an additional Buffer called Avidity Buffer which is available on request.</w:t>
      </w:r>
    </w:p>
    <w:p w14:paraId="344203CC" w14:textId="77777777" w:rsidR="009B171E" w:rsidRDefault="00000000">
      <w:pPr>
        <w:tabs>
          <w:tab w:val="left" w:pos="360"/>
        </w:tabs>
        <w:jc w:val="both"/>
        <w:rPr>
          <w:rFonts w:ascii="Arial" w:hAnsi="Arial" w:cs="Arial"/>
          <w:bCs/>
          <w:sz w:val="18"/>
          <w:szCs w:val="18"/>
        </w:rPr>
      </w:pPr>
      <w:r>
        <w:rPr>
          <w:rFonts w:ascii="Arial" w:hAnsi="Arial" w:cs="Arial"/>
          <w:bCs/>
          <w:sz w:val="18"/>
          <w:szCs w:val="18"/>
        </w:rPr>
        <w:t>For Procedure and Interpretation of results, kindly refer Pack Insert of Avidity Buffer.</w:t>
      </w:r>
    </w:p>
    <w:p w14:paraId="639866A0" w14:textId="77777777" w:rsidR="009B171E" w:rsidRDefault="009B171E">
      <w:pPr>
        <w:tabs>
          <w:tab w:val="left" w:pos="360"/>
        </w:tabs>
        <w:jc w:val="both"/>
        <w:rPr>
          <w:rFonts w:ascii="Arial" w:hAnsi="Arial" w:cs="Arial"/>
          <w:bCs/>
          <w:sz w:val="18"/>
          <w:szCs w:val="18"/>
        </w:rPr>
      </w:pPr>
    </w:p>
    <w:p w14:paraId="68A5E6D5" w14:textId="77777777" w:rsidR="009B171E" w:rsidRDefault="00000000">
      <w:pPr>
        <w:tabs>
          <w:tab w:val="left" w:pos="360"/>
        </w:tabs>
        <w:jc w:val="both"/>
        <w:rPr>
          <w:rFonts w:ascii="Arial" w:hAnsi="Arial" w:cs="Arial"/>
          <w:bCs/>
          <w:sz w:val="18"/>
          <w:szCs w:val="18"/>
        </w:rPr>
      </w:pPr>
      <w:r>
        <w:rPr>
          <w:rFonts w:ascii="Arial" w:hAnsi="Arial" w:cs="Arial"/>
          <w:bCs/>
          <w:sz w:val="18"/>
          <w:szCs w:val="18"/>
        </w:rPr>
        <w:t>CALCULATION OF RESULTS</w:t>
      </w:r>
    </w:p>
    <w:p w14:paraId="3F9569FF" w14:textId="77777777" w:rsidR="009B171E" w:rsidRDefault="00000000">
      <w:pPr>
        <w:tabs>
          <w:tab w:val="left" w:pos="360"/>
        </w:tabs>
        <w:jc w:val="both"/>
        <w:rPr>
          <w:rFonts w:ascii="Arial" w:hAnsi="Arial" w:cs="Arial"/>
          <w:bCs/>
          <w:sz w:val="18"/>
          <w:szCs w:val="18"/>
        </w:rPr>
      </w:pPr>
      <w:r>
        <w:rPr>
          <w:rFonts w:ascii="Arial" w:hAnsi="Arial" w:cs="Arial"/>
          <w:bCs/>
          <w:sz w:val="18"/>
          <w:szCs w:val="18"/>
        </w:rPr>
        <w:t>Qualitative Determination of Toxoplasma IgG</w:t>
      </w:r>
    </w:p>
    <w:p w14:paraId="621035B3" w14:textId="77777777" w:rsidR="009B171E" w:rsidRDefault="00000000">
      <w:pPr>
        <w:tabs>
          <w:tab w:val="left" w:pos="360"/>
        </w:tabs>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r>
      <w:proofErr w:type="spellStart"/>
      <w:r>
        <w:rPr>
          <w:rFonts w:ascii="Arial" w:hAnsi="Arial" w:cs="Arial"/>
          <w:bCs/>
          <w:sz w:val="18"/>
          <w:szCs w:val="18"/>
        </w:rPr>
        <w:t>Toxo</w:t>
      </w:r>
      <w:proofErr w:type="spellEnd"/>
      <w:r>
        <w:rPr>
          <w:rFonts w:ascii="Arial" w:hAnsi="Arial" w:cs="Arial"/>
          <w:bCs/>
          <w:sz w:val="18"/>
          <w:szCs w:val="18"/>
        </w:rPr>
        <w:t xml:space="preserve"> IgG index value can be calculated by dividing the mean absorbance of NC/PC/Sample by absorbance of Cut-Off calibrator (8 IU/ml).</w:t>
      </w:r>
    </w:p>
    <w:p w14:paraId="22E8FA9B" w14:textId="77777777" w:rsidR="009B171E" w:rsidRDefault="009B171E">
      <w:pPr>
        <w:tabs>
          <w:tab w:val="left" w:pos="360"/>
        </w:tabs>
        <w:jc w:val="both"/>
        <w:rPr>
          <w:rFonts w:ascii="Arial" w:hAnsi="Arial" w:cs="Arial"/>
          <w:bCs/>
          <w:sz w:val="18"/>
          <w:szCs w:val="18"/>
        </w:rPr>
      </w:pPr>
    </w:p>
    <w:p w14:paraId="5EE2D955" w14:textId="77777777" w:rsidR="009B171E" w:rsidRDefault="009B171E">
      <w:pPr>
        <w:tabs>
          <w:tab w:val="left" w:pos="360"/>
        </w:tabs>
        <w:jc w:val="both"/>
        <w:rPr>
          <w:rFonts w:ascii="Arial" w:hAnsi="Arial" w:cs="Arial"/>
          <w:bCs/>
          <w:sz w:val="18"/>
          <w:szCs w:val="18"/>
        </w:rPr>
      </w:pPr>
    </w:p>
    <w:p w14:paraId="3FB88797" w14:textId="77777777" w:rsidR="009B171E" w:rsidRDefault="00000000">
      <w:pPr>
        <w:tabs>
          <w:tab w:val="left" w:pos="360"/>
        </w:tabs>
        <w:rPr>
          <w:rFonts w:ascii="Arial" w:hAnsi="Arial" w:cs="Arial"/>
          <w:bCs/>
          <w:sz w:val="18"/>
          <w:szCs w:val="18"/>
        </w:rPr>
      </w:pPr>
      <w:r>
        <w:rPr>
          <w:rFonts w:ascii="Arial" w:hAnsi="Arial" w:cs="Arial"/>
          <w:bCs/>
          <w:sz w:val="18"/>
          <w:szCs w:val="18"/>
        </w:rPr>
        <w:tab/>
      </w:r>
      <w:r>
        <w:rPr>
          <w:rFonts w:ascii="Arial" w:hAnsi="Arial" w:cs="Arial"/>
          <w:bCs/>
          <w:sz w:val="18"/>
          <w:szCs w:val="18"/>
        </w:rPr>
        <w:tab/>
      </w:r>
      <w:r>
        <w:rPr>
          <w:rFonts w:ascii="Arial" w:hAnsi="Arial" w:cs="Arial"/>
          <w:bCs/>
          <w:sz w:val="18"/>
          <w:szCs w:val="18"/>
        </w:rPr>
        <w:tab/>
      </w:r>
      <w:r>
        <w:rPr>
          <w:rFonts w:ascii="Arial" w:hAnsi="Arial" w:cs="Arial"/>
          <w:bCs/>
          <w:sz w:val="18"/>
          <w:szCs w:val="18"/>
        </w:rPr>
        <w:tab/>
        <w:t>Absorbance of NC</w:t>
      </w:r>
    </w:p>
    <w:p w14:paraId="25369369" w14:textId="77777777" w:rsidR="009B171E" w:rsidRDefault="00000000">
      <w:pPr>
        <w:tabs>
          <w:tab w:val="left" w:pos="360"/>
        </w:tabs>
        <w:rPr>
          <w:rFonts w:ascii="Arial" w:hAnsi="Arial" w:cs="Arial"/>
          <w:bCs/>
          <w:sz w:val="18"/>
          <w:szCs w:val="18"/>
        </w:rPr>
      </w:pPr>
      <w:r>
        <w:rPr>
          <w:rFonts w:ascii="Arial" w:hAnsi="Arial" w:cs="Arial"/>
          <w:bCs/>
          <w:sz w:val="18"/>
          <w:szCs w:val="18"/>
        </w:rPr>
        <w:tab/>
      </w:r>
      <w:r>
        <w:rPr>
          <w:rFonts w:ascii="Arial" w:hAnsi="Arial" w:cs="Arial"/>
          <w:bCs/>
          <w:sz w:val="18"/>
          <w:szCs w:val="18"/>
        </w:rPr>
        <w:tab/>
      </w:r>
      <w:r>
        <w:rPr>
          <w:rFonts w:ascii="Arial" w:hAnsi="Arial" w:cs="Arial"/>
          <w:bCs/>
          <w:sz w:val="18"/>
          <w:szCs w:val="18"/>
        </w:rPr>
        <w:tab/>
      </w:r>
      <w:r>
        <w:rPr>
          <w:rFonts w:ascii="Arial" w:hAnsi="Arial" w:cs="Arial"/>
          <w:bCs/>
          <w:sz w:val="18"/>
          <w:szCs w:val="18"/>
        </w:rPr>
        <w:tab/>
        <w:t>______________</w:t>
      </w:r>
    </w:p>
    <w:p w14:paraId="39C1D7AC" w14:textId="77777777" w:rsidR="009B171E" w:rsidRDefault="00000000">
      <w:pPr>
        <w:tabs>
          <w:tab w:val="left" w:pos="360"/>
        </w:tabs>
        <w:rPr>
          <w:rFonts w:ascii="Arial" w:hAnsi="Arial" w:cs="Arial"/>
          <w:bCs/>
          <w:sz w:val="18"/>
          <w:szCs w:val="18"/>
        </w:rPr>
      </w:pPr>
      <w:proofErr w:type="spellStart"/>
      <w:r>
        <w:rPr>
          <w:rFonts w:ascii="Arial" w:hAnsi="Arial" w:cs="Arial"/>
          <w:bCs/>
          <w:sz w:val="18"/>
          <w:szCs w:val="18"/>
        </w:rPr>
        <w:t>Toxo</w:t>
      </w:r>
      <w:proofErr w:type="spellEnd"/>
      <w:r>
        <w:rPr>
          <w:rFonts w:ascii="Arial" w:hAnsi="Arial" w:cs="Arial"/>
          <w:bCs/>
          <w:sz w:val="18"/>
          <w:szCs w:val="18"/>
        </w:rPr>
        <w:t xml:space="preserve"> IgG Index of NC =     </w:t>
      </w:r>
    </w:p>
    <w:p w14:paraId="5C7BA19F" w14:textId="77777777" w:rsidR="009B171E" w:rsidRDefault="00000000">
      <w:pPr>
        <w:tabs>
          <w:tab w:val="left" w:pos="360"/>
        </w:tabs>
        <w:ind w:left="2127"/>
        <w:rPr>
          <w:rFonts w:ascii="Arial" w:hAnsi="Arial" w:cs="Arial"/>
          <w:bCs/>
          <w:sz w:val="18"/>
          <w:szCs w:val="18"/>
        </w:rPr>
      </w:pPr>
      <w:r>
        <w:rPr>
          <w:rFonts w:ascii="Arial" w:hAnsi="Arial" w:cs="Arial"/>
          <w:bCs/>
          <w:sz w:val="18"/>
          <w:szCs w:val="18"/>
        </w:rPr>
        <w:t>Absorbance of Cut-Off   calibrator</w:t>
      </w:r>
    </w:p>
    <w:p w14:paraId="0DF43D30" w14:textId="77777777" w:rsidR="009B171E" w:rsidRDefault="009B171E">
      <w:pPr>
        <w:tabs>
          <w:tab w:val="left" w:pos="360"/>
        </w:tabs>
        <w:rPr>
          <w:rFonts w:ascii="Arial" w:hAnsi="Arial" w:cs="Arial"/>
          <w:bCs/>
          <w:sz w:val="18"/>
          <w:szCs w:val="18"/>
        </w:rPr>
      </w:pPr>
    </w:p>
    <w:p w14:paraId="6DDC078B" w14:textId="77777777" w:rsidR="009B171E" w:rsidRDefault="00000000">
      <w:pPr>
        <w:tabs>
          <w:tab w:val="left" w:pos="360"/>
        </w:tabs>
        <w:rPr>
          <w:rFonts w:ascii="Arial" w:hAnsi="Arial" w:cs="Arial"/>
          <w:bCs/>
          <w:sz w:val="18"/>
          <w:szCs w:val="18"/>
        </w:rPr>
      </w:pPr>
      <w:r>
        <w:rPr>
          <w:rFonts w:ascii="Arial" w:hAnsi="Arial" w:cs="Arial"/>
          <w:bCs/>
          <w:sz w:val="18"/>
          <w:szCs w:val="18"/>
        </w:rPr>
        <w:tab/>
      </w:r>
      <w:r>
        <w:rPr>
          <w:rFonts w:ascii="Arial" w:hAnsi="Arial" w:cs="Arial"/>
          <w:bCs/>
          <w:sz w:val="18"/>
          <w:szCs w:val="18"/>
        </w:rPr>
        <w:tab/>
      </w:r>
      <w:r>
        <w:rPr>
          <w:rFonts w:ascii="Arial" w:hAnsi="Arial" w:cs="Arial"/>
          <w:bCs/>
          <w:sz w:val="18"/>
          <w:szCs w:val="18"/>
        </w:rPr>
        <w:tab/>
      </w:r>
      <w:r>
        <w:rPr>
          <w:rFonts w:ascii="Arial" w:hAnsi="Arial" w:cs="Arial"/>
          <w:bCs/>
          <w:sz w:val="18"/>
          <w:szCs w:val="18"/>
        </w:rPr>
        <w:tab/>
        <w:t>Absorbance of PC</w:t>
      </w:r>
    </w:p>
    <w:p w14:paraId="2D1A46AD" w14:textId="77777777" w:rsidR="009B171E" w:rsidRDefault="00000000">
      <w:pPr>
        <w:tabs>
          <w:tab w:val="left" w:pos="360"/>
        </w:tabs>
        <w:ind w:left="1440" w:hanging="1440"/>
        <w:rPr>
          <w:rFonts w:ascii="Arial" w:hAnsi="Arial" w:cs="Arial"/>
          <w:bCs/>
          <w:sz w:val="18"/>
          <w:szCs w:val="18"/>
        </w:rPr>
      </w:pPr>
      <w:proofErr w:type="spellStart"/>
      <w:r>
        <w:rPr>
          <w:rFonts w:ascii="Arial" w:hAnsi="Arial" w:cs="Arial"/>
          <w:bCs/>
          <w:sz w:val="18"/>
          <w:szCs w:val="18"/>
        </w:rPr>
        <w:t>Toxo</w:t>
      </w:r>
      <w:proofErr w:type="spellEnd"/>
      <w:r>
        <w:rPr>
          <w:rFonts w:ascii="Arial" w:hAnsi="Arial" w:cs="Arial"/>
          <w:bCs/>
          <w:sz w:val="18"/>
          <w:szCs w:val="18"/>
        </w:rPr>
        <w:t xml:space="preserve"> IgG Index of PC =      ________________</w:t>
      </w:r>
    </w:p>
    <w:p w14:paraId="641612F8" w14:textId="77777777" w:rsidR="009B171E" w:rsidRDefault="00000000">
      <w:pPr>
        <w:tabs>
          <w:tab w:val="left" w:pos="360"/>
          <w:tab w:val="left" w:pos="2127"/>
        </w:tabs>
        <w:ind w:left="2127"/>
        <w:rPr>
          <w:rFonts w:ascii="Arial" w:hAnsi="Arial" w:cs="Arial"/>
          <w:bCs/>
          <w:sz w:val="18"/>
          <w:szCs w:val="18"/>
        </w:rPr>
      </w:pPr>
      <w:r>
        <w:rPr>
          <w:rFonts w:ascii="Arial" w:hAnsi="Arial" w:cs="Arial"/>
          <w:bCs/>
          <w:sz w:val="18"/>
          <w:szCs w:val="18"/>
        </w:rPr>
        <w:tab/>
      </w:r>
      <w:r>
        <w:rPr>
          <w:rFonts w:ascii="Arial" w:hAnsi="Arial" w:cs="Arial"/>
          <w:bCs/>
          <w:sz w:val="18"/>
          <w:szCs w:val="18"/>
        </w:rPr>
        <w:tab/>
      </w:r>
      <w:r>
        <w:rPr>
          <w:rFonts w:ascii="Arial" w:hAnsi="Arial" w:cs="Arial"/>
          <w:bCs/>
          <w:sz w:val="18"/>
          <w:szCs w:val="18"/>
        </w:rPr>
        <w:tab/>
        <w:t>Absorbance of Cut-Off calibrator</w:t>
      </w:r>
    </w:p>
    <w:p w14:paraId="3DE28FCE" w14:textId="77777777" w:rsidR="009B171E" w:rsidRDefault="009B171E">
      <w:pPr>
        <w:tabs>
          <w:tab w:val="left" w:pos="360"/>
        </w:tabs>
        <w:rPr>
          <w:rFonts w:ascii="Arial" w:hAnsi="Arial" w:cs="Arial"/>
          <w:bCs/>
          <w:sz w:val="18"/>
          <w:szCs w:val="18"/>
        </w:rPr>
      </w:pPr>
    </w:p>
    <w:p w14:paraId="37B3B844" w14:textId="77777777" w:rsidR="009B171E" w:rsidRDefault="00000000">
      <w:pPr>
        <w:tabs>
          <w:tab w:val="left" w:pos="360"/>
        </w:tabs>
        <w:rPr>
          <w:rFonts w:ascii="Arial" w:hAnsi="Arial" w:cs="Arial"/>
          <w:bCs/>
          <w:sz w:val="18"/>
          <w:szCs w:val="18"/>
        </w:rPr>
      </w:pPr>
      <w:r>
        <w:rPr>
          <w:rFonts w:ascii="Arial" w:hAnsi="Arial" w:cs="Arial"/>
          <w:bCs/>
          <w:sz w:val="18"/>
          <w:szCs w:val="18"/>
        </w:rPr>
        <w:tab/>
      </w:r>
      <w:r>
        <w:rPr>
          <w:rFonts w:ascii="Arial" w:hAnsi="Arial" w:cs="Arial"/>
          <w:bCs/>
          <w:sz w:val="18"/>
          <w:szCs w:val="18"/>
        </w:rPr>
        <w:tab/>
      </w:r>
      <w:r>
        <w:rPr>
          <w:rFonts w:ascii="Arial" w:hAnsi="Arial" w:cs="Arial"/>
          <w:bCs/>
          <w:sz w:val="18"/>
          <w:szCs w:val="18"/>
        </w:rPr>
        <w:tab/>
      </w:r>
      <w:r>
        <w:rPr>
          <w:rFonts w:ascii="Arial" w:hAnsi="Arial" w:cs="Arial"/>
          <w:bCs/>
          <w:sz w:val="18"/>
          <w:szCs w:val="18"/>
        </w:rPr>
        <w:tab/>
        <w:t xml:space="preserve"> Absorbance of Sample</w:t>
      </w:r>
    </w:p>
    <w:p w14:paraId="04B0C7CC" w14:textId="77777777" w:rsidR="009B171E" w:rsidRDefault="00000000">
      <w:pPr>
        <w:tabs>
          <w:tab w:val="left" w:pos="360"/>
        </w:tabs>
        <w:rPr>
          <w:rFonts w:ascii="Arial" w:hAnsi="Arial" w:cs="Arial"/>
          <w:bCs/>
          <w:sz w:val="18"/>
          <w:szCs w:val="18"/>
        </w:rPr>
      </w:pPr>
      <w:r>
        <w:rPr>
          <w:rFonts w:ascii="Arial" w:hAnsi="Arial" w:cs="Arial"/>
          <w:bCs/>
          <w:sz w:val="18"/>
          <w:szCs w:val="18"/>
        </w:rPr>
        <w:t xml:space="preserve">                                              _______________</w:t>
      </w:r>
    </w:p>
    <w:p w14:paraId="0CED8E57" w14:textId="77777777" w:rsidR="009B171E" w:rsidRDefault="00000000">
      <w:pPr>
        <w:tabs>
          <w:tab w:val="left" w:pos="360"/>
        </w:tabs>
        <w:rPr>
          <w:rFonts w:ascii="Arial" w:hAnsi="Arial" w:cs="Arial"/>
          <w:bCs/>
          <w:sz w:val="18"/>
          <w:szCs w:val="18"/>
        </w:rPr>
      </w:pPr>
      <w:proofErr w:type="spellStart"/>
      <w:r>
        <w:rPr>
          <w:rFonts w:ascii="Arial" w:hAnsi="Arial" w:cs="Arial"/>
          <w:bCs/>
          <w:sz w:val="18"/>
          <w:szCs w:val="18"/>
        </w:rPr>
        <w:t>Toxo</w:t>
      </w:r>
      <w:proofErr w:type="spellEnd"/>
      <w:r>
        <w:rPr>
          <w:rFonts w:ascii="Arial" w:hAnsi="Arial" w:cs="Arial"/>
          <w:bCs/>
          <w:sz w:val="18"/>
          <w:szCs w:val="18"/>
        </w:rPr>
        <w:t xml:space="preserve"> IgG Index of sample =</w:t>
      </w:r>
    </w:p>
    <w:p w14:paraId="107A600C" w14:textId="77777777" w:rsidR="009B171E" w:rsidRDefault="00000000">
      <w:pPr>
        <w:tabs>
          <w:tab w:val="left" w:pos="360"/>
        </w:tabs>
        <w:ind w:left="2268"/>
        <w:rPr>
          <w:rFonts w:ascii="Arial" w:hAnsi="Arial" w:cs="Arial"/>
          <w:bCs/>
          <w:sz w:val="18"/>
          <w:szCs w:val="18"/>
        </w:rPr>
      </w:pPr>
      <w:r>
        <w:rPr>
          <w:rFonts w:ascii="Arial" w:hAnsi="Arial" w:cs="Arial"/>
          <w:bCs/>
          <w:sz w:val="18"/>
          <w:szCs w:val="18"/>
        </w:rPr>
        <w:t>Absorbance of Cut-Off calibrator</w:t>
      </w:r>
    </w:p>
    <w:p w14:paraId="41C367ED" w14:textId="77777777" w:rsidR="009B171E" w:rsidRDefault="009B171E">
      <w:pPr>
        <w:tabs>
          <w:tab w:val="left" w:pos="360"/>
        </w:tabs>
        <w:ind w:left="2268"/>
        <w:rPr>
          <w:rFonts w:ascii="Arial" w:hAnsi="Arial" w:cs="Arial"/>
          <w:bCs/>
          <w:sz w:val="18"/>
          <w:szCs w:val="18"/>
        </w:rPr>
      </w:pPr>
    </w:p>
    <w:p w14:paraId="0076D873" w14:textId="77777777" w:rsidR="009B171E" w:rsidRDefault="00000000">
      <w:pPr>
        <w:tabs>
          <w:tab w:val="left" w:pos="360"/>
        </w:tabs>
        <w:jc w:val="both"/>
        <w:rPr>
          <w:rFonts w:ascii="Arial" w:hAnsi="Arial" w:cs="Arial"/>
          <w:bCs/>
          <w:sz w:val="18"/>
          <w:szCs w:val="18"/>
        </w:rPr>
      </w:pPr>
      <w:r>
        <w:rPr>
          <w:rFonts w:ascii="Arial" w:hAnsi="Arial" w:cs="Arial"/>
          <w:bCs/>
          <w:sz w:val="18"/>
          <w:szCs w:val="18"/>
        </w:rPr>
        <w:t>Quantitative Determination of Toxoplasma IgG</w:t>
      </w:r>
    </w:p>
    <w:p w14:paraId="6A5A7616" w14:textId="77777777" w:rsidR="009B171E" w:rsidRDefault="00000000">
      <w:pPr>
        <w:tabs>
          <w:tab w:val="left" w:pos="360"/>
        </w:tabs>
        <w:jc w:val="both"/>
        <w:rPr>
          <w:rFonts w:ascii="Arial" w:hAnsi="Arial" w:cs="Arial"/>
          <w:bCs/>
          <w:sz w:val="18"/>
          <w:szCs w:val="18"/>
        </w:rPr>
      </w:pPr>
      <w:r>
        <w:rPr>
          <w:rFonts w:ascii="Arial" w:hAnsi="Arial" w:cs="Arial"/>
          <w:bCs/>
          <w:sz w:val="18"/>
          <w:szCs w:val="18"/>
        </w:rPr>
        <w:t xml:space="preserve">For a quantitative determination of anti-Toxoplasma IgG levels </w:t>
      </w:r>
      <w:proofErr w:type="gramStart"/>
      <w:r>
        <w:rPr>
          <w:rFonts w:ascii="Arial" w:hAnsi="Arial" w:cs="Arial"/>
          <w:bCs/>
          <w:sz w:val="18"/>
          <w:szCs w:val="18"/>
        </w:rPr>
        <w:t>of  specimens</w:t>
      </w:r>
      <w:proofErr w:type="gramEnd"/>
      <w:r>
        <w:rPr>
          <w:rFonts w:ascii="Arial" w:hAnsi="Arial" w:cs="Arial"/>
          <w:bCs/>
          <w:sz w:val="18"/>
          <w:szCs w:val="18"/>
        </w:rPr>
        <w:t xml:space="preserve"> in IU/ml unit, OD of calibrators are plotted on the Y-axis in graph versus their corresponding anti-Toxoplasma IgG concentration 0, 8, 50, and 150 IU/ml on the X-axis.  The estimates of levels in patient sera are read off the </w:t>
      </w:r>
      <w:proofErr w:type="gramStart"/>
      <w:r>
        <w:rPr>
          <w:rFonts w:ascii="Arial" w:hAnsi="Arial" w:cs="Arial"/>
          <w:bCs/>
          <w:sz w:val="18"/>
          <w:szCs w:val="18"/>
        </w:rPr>
        <w:t>point to point</w:t>
      </w:r>
      <w:proofErr w:type="gramEnd"/>
      <w:r>
        <w:rPr>
          <w:rFonts w:ascii="Arial" w:hAnsi="Arial" w:cs="Arial"/>
          <w:bCs/>
          <w:sz w:val="18"/>
          <w:szCs w:val="18"/>
        </w:rPr>
        <w:t xml:space="preserve"> curve using their individual OD values. For example:</w:t>
      </w:r>
    </w:p>
    <w:p w14:paraId="2B7120AE" w14:textId="77777777" w:rsidR="009B171E" w:rsidRDefault="009B171E">
      <w:pPr>
        <w:tabs>
          <w:tab w:val="left" w:pos="360"/>
        </w:tabs>
        <w:jc w:val="both"/>
        <w:rPr>
          <w:rFonts w:ascii="Arial" w:hAnsi="Arial" w:cs="Arial"/>
          <w:bCs/>
          <w:sz w:val="18"/>
          <w:szCs w:val="18"/>
        </w:rPr>
      </w:pPr>
    </w:p>
    <w:p w14:paraId="2DFF8DBA" w14:textId="1478B4ED" w:rsidR="009B171E" w:rsidRDefault="00BE6234">
      <w:pPr>
        <w:tabs>
          <w:tab w:val="left" w:pos="360"/>
        </w:tabs>
        <w:jc w:val="both"/>
        <w:rPr>
          <w:rFonts w:ascii="Arial" w:hAnsi="Arial" w:cs="Arial"/>
          <w:bCs/>
          <w:sz w:val="18"/>
          <w:szCs w:val="18"/>
        </w:rPr>
      </w:pPr>
      <w:r>
        <w:object w:dxaOrig="3845" w:dyaOrig="2263" w14:anchorId="67A0E8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2.4pt;height:218.85pt" o:ole="">
            <v:imagedata r:id="rId8" o:title=""/>
          </v:shape>
          <o:OLEObject Type="Embed" ProgID="CorelDraw.Graphic.23" ShapeID="_x0000_i1025" DrawAspect="Content" ObjectID="_1787473721" r:id="rId9"/>
        </w:object>
      </w:r>
    </w:p>
    <w:p w14:paraId="3FECDC3B" w14:textId="77777777" w:rsidR="009B171E" w:rsidRDefault="009B171E">
      <w:pPr>
        <w:tabs>
          <w:tab w:val="left" w:pos="360"/>
        </w:tabs>
        <w:jc w:val="both"/>
        <w:rPr>
          <w:rFonts w:ascii="Arial" w:hAnsi="Arial" w:cs="Arial"/>
          <w:bCs/>
          <w:sz w:val="18"/>
          <w:szCs w:val="18"/>
        </w:rPr>
      </w:pPr>
    </w:p>
    <w:p w14:paraId="7CC99E18" w14:textId="77777777" w:rsidR="009B171E" w:rsidRDefault="009B171E">
      <w:pPr>
        <w:tabs>
          <w:tab w:val="left" w:pos="360"/>
        </w:tabs>
        <w:jc w:val="both"/>
        <w:rPr>
          <w:rFonts w:ascii="Arial" w:hAnsi="Arial" w:cs="Arial"/>
          <w:bCs/>
          <w:sz w:val="18"/>
          <w:szCs w:val="18"/>
        </w:rPr>
      </w:pPr>
    </w:p>
    <w:p w14:paraId="5DC2F6AD" w14:textId="77777777" w:rsidR="009B171E" w:rsidRDefault="00000000">
      <w:pPr>
        <w:tabs>
          <w:tab w:val="left" w:pos="360"/>
        </w:tabs>
        <w:jc w:val="both"/>
        <w:rPr>
          <w:rFonts w:ascii="Arial" w:hAnsi="Arial" w:cs="Arial"/>
          <w:bCs/>
          <w:sz w:val="18"/>
          <w:szCs w:val="18"/>
        </w:rPr>
      </w:pPr>
      <w:r>
        <w:rPr>
          <w:rFonts w:ascii="Arial" w:hAnsi="Arial" w:cs="Arial"/>
          <w:bCs/>
          <w:sz w:val="18"/>
          <w:szCs w:val="18"/>
        </w:rPr>
        <w:t>INTERPRETATION OF THE RESULT</w:t>
      </w:r>
    </w:p>
    <w:p w14:paraId="1B7E43B6" w14:textId="77777777" w:rsidR="009B171E" w:rsidRDefault="009B171E">
      <w:pPr>
        <w:tabs>
          <w:tab w:val="left" w:pos="360"/>
        </w:tabs>
        <w:jc w:val="both"/>
        <w:rPr>
          <w:rFonts w:ascii="Arial" w:hAnsi="Arial" w:cs="Arial"/>
          <w:bCs/>
          <w:sz w:val="18"/>
          <w:szCs w:val="18"/>
        </w:rPr>
      </w:pPr>
    </w:p>
    <w:p w14:paraId="55F85011" w14:textId="77777777" w:rsidR="009B171E" w:rsidRDefault="009B171E">
      <w:pPr>
        <w:tabs>
          <w:tab w:val="left" w:pos="360"/>
        </w:tabs>
        <w:jc w:val="both"/>
        <w:rPr>
          <w:rFonts w:ascii="Arial" w:hAnsi="Arial" w:cs="Arial"/>
          <w:bCs/>
          <w:sz w:val="18"/>
          <w:szCs w:val="18"/>
        </w:rPr>
      </w:pPr>
    </w:p>
    <w:tbl>
      <w:tblPr>
        <w:tblStyle w:val="TableGrid"/>
        <w:tblW w:w="0" w:type="auto"/>
        <w:tblLook w:val="04A0" w:firstRow="1" w:lastRow="0" w:firstColumn="1" w:lastColumn="0" w:noHBand="0" w:noVBand="1"/>
      </w:tblPr>
      <w:tblGrid>
        <w:gridCol w:w="1390"/>
        <w:gridCol w:w="927"/>
        <w:gridCol w:w="1513"/>
      </w:tblGrid>
      <w:tr w:rsidR="009B171E" w14:paraId="29155F36" w14:textId="77777777">
        <w:tc>
          <w:tcPr>
            <w:tcW w:w="1555" w:type="dxa"/>
          </w:tcPr>
          <w:p w14:paraId="322489CC" w14:textId="77777777" w:rsidR="009B171E" w:rsidRDefault="00000000">
            <w:pPr>
              <w:tabs>
                <w:tab w:val="left" w:pos="360"/>
              </w:tabs>
              <w:jc w:val="both"/>
              <w:rPr>
                <w:rFonts w:ascii="Arial" w:hAnsi="Arial" w:cs="Arial"/>
                <w:bCs/>
                <w:sz w:val="18"/>
                <w:szCs w:val="18"/>
              </w:rPr>
            </w:pPr>
            <w:r>
              <w:rPr>
                <w:rFonts w:ascii="Arial" w:hAnsi="Arial" w:cs="Arial"/>
                <w:bCs/>
                <w:sz w:val="18"/>
                <w:szCs w:val="18"/>
              </w:rPr>
              <w:t>IgG Index Value</w:t>
            </w:r>
          </w:p>
        </w:tc>
        <w:tc>
          <w:tcPr>
            <w:tcW w:w="708" w:type="dxa"/>
          </w:tcPr>
          <w:p w14:paraId="3EC726FC" w14:textId="77777777" w:rsidR="009B171E" w:rsidRDefault="00000000">
            <w:pPr>
              <w:tabs>
                <w:tab w:val="left" w:pos="360"/>
              </w:tabs>
              <w:jc w:val="both"/>
              <w:rPr>
                <w:rFonts w:ascii="Arial" w:hAnsi="Arial" w:cs="Arial"/>
                <w:bCs/>
                <w:sz w:val="18"/>
                <w:szCs w:val="18"/>
              </w:rPr>
            </w:pPr>
            <w:r>
              <w:rPr>
                <w:rFonts w:ascii="Arial" w:hAnsi="Arial" w:cs="Arial"/>
                <w:bCs/>
                <w:sz w:val="18"/>
                <w:szCs w:val="18"/>
              </w:rPr>
              <w:t>Result</w:t>
            </w:r>
          </w:p>
        </w:tc>
        <w:tc>
          <w:tcPr>
            <w:tcW w:w="1567" w:type="dxa"/>
          </w:tcPr>
          <w:p w14:paraId="792F5D25" w14:textId="77777777" w:rsidR="009B171E" w:rsidRDefault="00000000">
            <w:pPr>
              <w:tabs>
                <w:tab w:val="left" w:pos="360"/>
              </w:tabs>
              <w:jc w:val="both"/>
              <w:rPr>
                <w:rFonts w:ascii="Arial" w:hAnsi="Arial" w:cs="Arial"/>
                <w:bCs/>
                <w:sz w:val="18"/>
                <w:szCs w:val="18"/>
              </w:rPr>
            </w:pPr>
            <w:r>
              <w:rPr>
                <w:rFonts w:ascii="Arial" w:hAnsi="Arial" w:cs="Arial"/>
                <w:bCs/>
                <w:sz w:val="18"/>
                <w:szCs w:val="18"/>
              </w:rPr>
              <w:t>Interpretation</w:t>
            </w:r>
          </w:p>
        </w:tc>
      </w:tr>
      <w:tr w:rsidR="009B171E" w14:paraId="5DC03770" w14:textId="77777777">
        <w:tc>
          <w:tcPr>
            <w:tcW w:w="1555" w:type="dxa"/>
          </w:tcPr>
          <w:p w14:paraId="33F25D61" w14:textId="77777777" w:rsidR="009B171E" w:rsidRDefault="00000000">
            <w:pPr>
              <w:tabs>
                <w:tab w:val="left" w:pos="360"/>
              </w:tabs>
              <w:jc w:val="both"/>
              <w:rPr>
                <w:rFonts w:ascii="Arial" w:hAnsi="Arial" w:cs="Arial"/>
                <w:bCs/>
                <w:sz w:val="18"/>
                <w:szCs w:val="18"/>
              </w:rPr>
            </w:pPr>
            <w:r>
              <w:rPr>
                <w:rFonts w:ascii="Arial" w:hAnsi="Arial" w:cs="Arial"/>
                <w:bCs/>
                <w:sz w:val="18"/>
                <w:szCs w:val="18"/>
              </w:rPr>
              <w:t xml:space="preserve">IgG Index </w:t>
            </w:r>
          </w:p>
          <w:p w14:paraId="73F52601" w14:textId="77777777" w:rsidR="009B171E" w:rsidRDefault="00000000">
            <w:pPr>
              <w:tabs>
                <w:tab w:val="left" w:pos="360"/>
              </w:tabs>
              <w:jc w:val="both"/>
              <w:rPr>
                <w:rFonts w:ascii="Arial" w:hAnsi="Arial" w:cs="Arial"/>
                <w:bCs/>
                <w:sz w:val="18"/>
                <w:szCs w:val="18"/>
              </w:rPr>
            </w:pPr>
            <w:r>
              <w:rPr>
                <w:rFonts w:ascii="Arial" w:hAnsi="Arial" w:cs="Arial"/>
                <w:bCs/>
                <w:sz w:val="18"/>
                <w:szCs w:val="18"/>
              </w:rPr>
              <w:t>value &lt;0.90</w:t>
            </w:r>
          </w:p>
        </w:tc>
        <w:tc>
          <w:tcPr>
            <w:tcW w:w="708" w:type="dxa"/>
          </w:tcPr>
          <w:p w14:paraId="1EBFF76A" w14:textId="77777777" w:rsidR="009B171E" w:rsidRDefault="00000000">
            <w:pPr>
              <w:tabs>
                <w:tab w:val="left" w:pos="360"/>
              </w:tabs>
              <w:jc w:val="both"/>
              <w:rPr>
                <w:rFonts w:ascii="Arial" w:hAnsi="Arial" w:cs="Arial"/>
                <w:bCs/>
                <w:sz w:val="18"/>
                <w:szCs w:val="18"/>
              </w:rPr>
            </w:pPr>
            <w:r>
              <w:rPr>
                <w:rFonts w:ascii="Arial" w:hAnsi="Arial" w:cs="Arial"/>
                <w:bCs/>
                <w:sz w:val="18"/>
                <w:szCs w:val="18"/>
              </w:rPr>
              <w:t>Negative</w:t>
            </w:r>
          </w:p>
        </w:tc>
        <w:tc>
          <w:tcPr>
            <w:tcW w:w="1567" w:type="dxa"/>
          </w:tcPr>
          <w:p w14:paraId="45836B82" w14:textId="1295FA44" w:rsidR="009B171E" w:rsidRDefault="00000000">
            <w:pPr>
              <w:tabs>
                <w:tab w:val="left" w:pos="360"/>
              </w:tabs>
              <w:jc w:val="both"/>
              <w:rPr>
                <w:rFonts w:ascii="Arial" w:hAnsi="Arial" w:cs="Arial"/>
                <w:bCs/>
                <w:sz w:val="18"/>
                <w:szCs w:val="18"/>
              </w:rPr>
            </w:pPr>
            <w:r>
              <w:rPr>
                <w:rFonts w:ascii="Arial" w:hAnsi="Arial" w:cs="Arial"/>
                <w:bCs/>
                <w:sz w:val="18"/>
                <w:szCs w:val="18"/>
              </w:rPr>
              <w:t>Indicates absence of prior exposure to Toxoplasma</w:t>
            </w:r>
            <w:r w:rsidR="00BE6234">
              <w:rPr>
                <w:rFonts w:ascii="Arial" w:hAnsi="Arial" w:cs="Arial"/>
                <w:bCs/>
                <w:sz w:val="18"/>
                <w:szCs w:val="18"/>
              </w:rPr>
              <w:t xml:space="preserve">   </w:t>
            </w:r>
            <w:proofErr w:type="gramStart"/>
            <w:r w:rsidR="00BE6234">
              <w:rPr>
                <w:rFonts w:ascii="Arial" w:hAnsi="Arial" w:cs="Arial"/>
                <w:bCs/>
                <w:sz w:val="18"/>
                <w:szCs w:val="18"/>
              </w:rPr>
              <w:t xml:space="preserve">  </w:t>
            </w:r>
            <w:r>
              <w:rPr>
                <w:rFonts w:ascii="Arial" w:hAnsi="Arial" w:cs="Arial"/>
                <w:bCs/>
                <w:sz w:val="18"/>
                <w:szCs w:val="18"/>
              </w:rPr>
              <w:t xml:space="preserve"> (</w:t>
            </w:r>
            <w:proofErr w:type="gramEnd"/>
            <w:r>
              <w:rPr>
                <w:rFonts w:ascii="Arial" w:hAnsi="Arial" w:cs="Arial"/>
                <w:bCs/>
                <w:sz w:val="18"/>
                <w:szCs w:val="18"/>
              </w:rPr>
              <w:t>&lt; 7IU/ml)</w:t>
            </w:r>
          </w:p>
        </w:tc>
      </w:tr>
      <w:tr w:rsidR="009B171E" w14:paraId="3D106789" w14:textId="77777777">
        <w:tc>
          <w:tcPr>
            <w:tcW w:w="1555" w:type="dxa"/>
          </w:tcPr>
          <w:p w14:paraId="321B9C07" w14:textId="77777777" w:rsidR="009B171E" w:rsidRDefault="00000000">
            <w:pPr>
              <w:tabs>
                <w:tab w:val="left" w:pos="360"/>
              </w:tabs>
              <w:jc w:val="both"/>
              <w:rPr>
                <w:rFonts w:ascii="Arial" w:hAnsi="Arial" w:cs="Arial"/>
                <w:bCs/>
                <w:sz w:val="18"/>
                <w:szCs w:val="18"/>
              </w:rPr>
            </w:pPr>
            <w:r>
              <w:rPr>
                <w:rFonts w:ascii="Arial" w:hAnsi="Arial" w:cs="Arial"/>
                <w:bCs/>
                <w:sz w:val="18"/>
                <w:szCs w:val="18"/>
              </w:rPr>
              <w:t>IgG Index value 0.91-0.99</w:t>
            </w:r>
          </w:p>
        </w:tc>
        <w:tc>
          <w:tcPr>
            <w:tcW w:w="708" w:type="dxa"/>
          </w:tcPr>
          <w:p w14:paraId="683D984D" w14:textId="77777777" w:rsidR="009B171E" w:rsidRDefault="00000000">
            <w:pPr>
              <w:tabs>
                <w:tab w:val="left" w:pos="360"/>
              </w:tabs>
              <w:jc w:val="both"/>
              <w:rPr>
                <w:rFonts w:ascii="Arial" w:hAnsi="Arial" w:cs="Arial"/>
                <w:bCs/>
                <w:sz w:val="18"/>
                <w:szCs w:val="18"/>
              </w:rPr>
            </w:pPr>
            <w:r>
              <w:rPr>
                <w:rFonts w:ascii="Arial" w:hAnsi="Arial" w:cs="Arial"/>
                <w:bCs/>
                <w:sz w:val="18"/>
                <w:szCs w:val="18"/>
              </w:rPr>
              <w:t>Grey zone</w:t>
            </w:r>
          </w:p>
        </w:tc>
        <w:tc>
          <w:tcPr>
            <w:tcW w:w="1567" w:type="dxa"/>
          </w:tcPr>
          <w:p w14:paraId="1E08A10F" w14:textId="77777777" w:rsidR="009B171E" w:rsidRDefault="00000000">
            <w:pPr>
              <w:tabs>
                <w:tab w:val="left" w:pos="360"/>
              </w:tabs>
              <w:jc w:val="both"/>
              <w:rPr>
                <w:rFonts w:ascii="Arial" w:hAnsi="Arial" w:cs="Arial"/>
                <w:bCs/>
                <w:sz w:val="18"/>
                <w:szCs w:val="18"/>
              </w:rPr>
            </w:pPr>
            <w:r>
              <w:rPr>
                <w:rFonts w:ascii="Arial" w:hAnsi="Arial" w:cs="Arial"/>
                <w:bCs/>
                <w:sz w:val="18"/>
                <w:szCs w:val="18"/>
              </w:rPr>
              <w:t xml:space="preserve">Sample should be retested </w:t>
            </w:r>
          </w:p>
          <w:p w14:paraId="4C17832E" w14:textId="77777777" w:rsidR="009B171E" w:rsidRDefault="00000000">
            <w:pPr>
              <w:tabs>
                <w:tab w:val="left" w:pos="360"/>
              </w:tabs>
              <w:jc w:val="both"/>
              <w:rPr>
                <w:rFonts w:ascii="Arial" w:hAnsi="Arial" w:cs="Arial"/>
                <w:bCs/>
                <w:sz w:val="18"/>
                <w:szCs w:val="18"/>
              </w:rPr>
            </w:pPr>
            <w:r>
              <w:rPr>
                <w:rFonts w:ascii="Arial" w:hAnsi="Arial" w:cs="Arial"/>
                <w:bCs/>
                <w:sz w:val="18"/>
                <w:szCs w:val="18"/>
              </w:rPr>
              <w:t>(</w:t>
            </w:r>
            <w:r>
              <w:rPr>
                <w:rFonts w:ascii="Arial" w:hAnsi="Arial" w:cs="Arial"/>
                <w:bCs/>
                <w:sz w:val="18"/>
                <w:szCs w:val="18"/>
                <w:lang w:val="en-GB"/>
              </w:rPr>
              <w:t>7-8</w:t>
            </w:r>
            <w:r>
              <w:rPr>
                <w:rFonts w:ascii="Arial" w:hAnsi="Arial" w:cs="Arial"/>
                <w:bCs/>
                <w:sz w:val="18"/>
                <w:szCs w:val="18"/>
              </w:rPr>
              <w:t xml:space="preserve"> IU/ml)</w:t>
            </w:r>
          </w:p>
        </w:tc>
      </w:tr>
      <w:tr w:rsidR="009B171E" w14:paraId="73FFCA5E" w14:textId="77777777">
        <w:tc>
          <w:tcPr>
            <w:tcW w:w="1555" w:type="dxa"/>
          </w:tcPr>
          <w:p w14:paraId="3960B4DB" w14:textId="77777777" w:rsidR="009B171E" w:rsidRDefault="00000000">
            <w:pPr>
              <w:tabs>
                <w:tab w:val="left" w:pos="360"/>
              </w:tabs>
              <w:jc w:val="both"/>
              <w:rPr>
                <w:rFonts w:ascii="Arial" w:hAnsi="Arial" w:cs="Arial"/>
                <w:bCs/>
                <w:sz w:val="18"/>
                <w:szCs w:val="18"/>
              </w:rPr>
            </w:pPr>
            <w:r>
              <w:rPr>
                <w:rFonts w:ascii="Arial" w:hAnsi="Arial" w:cs="Arial"/>
                <w:bCs/>
                <w:sz w:val="18"/>
                <w:szCs w:val="18"/>
              </w:rPr>
              <w:t>IgG Index value &gt;1.0</w:t>
            </w:r>
          </w:p>
        </w:tc>
        <w:tc>
          <w:tcPr>
            <w:tcW w:w="708" w:type="dxa"/>
          </w:tcPr>
          <w:p w14:paraId="4E071757" w14:textId="77777777" w:rsidR="009B171E" w:rsidRDefault="00000000">
            <w:pPr>
              <w:tabs>
                <w:tab w:val="left" w:pos="360"/>
              </w:tabs>
              <w:jc w:val="both"/>
              <w:rPr>
                <w:rFonts w:ascii="Arial" w:hAnsi="Arial" w:cs="Arial"/>
                <w:bCs/>
                <w:sz w:val="18"/>
                <w:szCs w:val="18"/>
              </w:rPr>
            </w:pPr>
            <w:r>
              <w:rPr>
                <w:rFonts w:ascii="Arial" w:hAnsi="Arial" w:cs="Arial"/>
                <w:bCs/>
                <w:sz w:val="18"/>
                <w:szCs w:val="18"/>
              </w:rPr>
              <w:t>Positive</w:t>
            </w:r>
          </w:p>
        </w:tc>
        <w:tc>
          <w:tcPr>
            <w:tcW w:w="1567" w:type="dxa"/>
          </w:tcPr>
          <w:p w14:paraId="01174006" w14:textId="77777777" w:rsidR="009B171E" w:rsidRDefault="00000000">
            <w:pPr>
              <w:tabs>
                <w:tab w:val="left" w:pos="360"/>
              </w:tabs>
              <w:jc w:val="both"/>
              <w:rPr>
                <w:rFonts w:ascii="Arial" w:hAnsi="Arial" w:cs="Arial"/>
                <w:bCs/>
                <w:sz w:val="18"/>
                <w:szCs w:val="18"/>
              </w:rPr>
            </w:pPr>
            <w:r>
              <w:rPr>
                <w:rFonts w:ascii="Arial" w:hAnsi="Arial" w:cs="Arial"/>
                <w:bCs/>
                <w:sz w:val="18"/>
                <w:szCs w:val="18"/>
              </w:rPr>
              <w:t xml:space="preserve">Indicates prior exposure to Toxoplasma </w:t>
            </w:r>
            <w:proofErr w:type="gramStart"/>
            <w:r>
              <w:rPr>
                <w:rFonts w:ascii="Arial" w:hAnsi="Arial" w:cs="Arial"/>
                <w:bCs/>
                <w:sz w:val="18"/>
                <w:szCs w:val="18"/>
              </w:rPr>
              <w:t>virus  (</w:t>
            </w:r>
            <w:proofErr w:type="gramEnd"/>
            <w:r>
              <w:rPr>
                <w:rFonts w:ascii="Arial" w:hAnsi="Arial" w:cs="Arial"/>
                <w:bCs/>
                <w:sz w:val="18"/>
                <w:szCs w:val="18"/>
              </w:rPr>
              <w:t>&gt; 8IU/ml)</w:t>
            </w:r>
          </w:p>
        </w:tc>
      </w:tr>
    </w:tbl>
    <w:p w14:paraId="37036E16" w14:textId="77777777" w:rsidR="009B171E" w:rsidRDefault="009B171E">
      <w:pPr>
        <w:tabs>
          <w:tab w:val="left" w:pos="360"/>
        </w:tabs>
        <w:jc w:val="both"/>
        <w:rPr>
          <w:rFonts w:ascii="Arial" w:hAnsi="Arial" w:cs="Arial"/>
          <w:bCs/>
          <w:sz w:val="18"/>
          <w:szCs w:val="18"/>
        </w:rPr>
      </w:pPr>
    </w:p>
    <w:p w14:paraId="54EAEBEB" w14:textId="77777777" w:rsidR="00BE6234" w:rsidRDefault="00BE6234">
      <w:pPr>
        <w:tabs>
          <w:tab w:val="left" w:pos="360"/>
        </w:tabs>
        <w:jc w:val="both"/>
        <w:rPr>
          <w:rFonts w:ascii="Arial" w:hAnsi="Arial" w:cs="Arial"/>
          <w:bCs/>
          <w:sz w:val="18"/>
          <w:szCs w:val="18"/>
        </w:rPr>
      </w:pPr>
    </w:p>
    <w:p w14:paraId="229A7E9A" w14:textId="77777777" w:rsidR="009B171E" w:rsidRDefault="00000000">
      <w:pPr>
        <w:tabs>
          <w:tab w:val="left" w:pos="360"/>
        </w:tabs>
        <w:jc w:val="both"/>
        <w:rPr>
          <w:rFonts w:ascii="Arial" w:hAnsi="Arial" w:cs="Arial"/>
          <w:bCs/>
          <w:sz w:val="18"/>
          <w:szCs w:val="18"/>
        </w:rPr>
      </w:pPr>
      <w:r>
        <w:rPr>
          <w:rFonts w:ascii="Arial" w:hAnsi="Arial" w:cs="Arial"/>
          <w:bCs/>
          <w:sz w:val="18"/>
          <w:szCs w:val="18"/>
        </w:rPr>
        <w:t>PERFORMANCE CHARACTERISTICS</w:t>
      </w:r>
    </w:p>
    <w:p w14:paraId="1BF7ACBE" w14:textId="77777777" w:rsidR="009B171E" w:rsidRDefault="00000000">
      <w:pPr>
        <w:tabs>
          <w:tab w:val="left" w:pos="360"/>
        </w:tabs>
        <w:jc w:val="both"/>
        <w:rPr>
          <w:rFonts w:ascii="Arial" w:hAnsi="Arial" w:cs="Arial"/>
          <w:bCs/>
          <w:sz w:val="18"/>
          <w:szCs w:val="18"/>
        </w:rPr>
      </w:pPr>
      <w:r>
        <w:rPr>
          <w:rFonts w:ascii="Arial" w:hAnsi="Arial" w:cs="Arial"/>
          <w:bCs/>
          <w:sz w:val="18"/>
          <w:szCs w:val="18"/>
        </w:rPr>
        <w:t xml:space="preserve">A total of 100 patient samples were used to evaluate specificity and sensitivity of the test. TOXO IgG test results were compared to a </w:t>
      </w:r>
      <w:proofErr w:type="gramStart"/>
      <w:r>
        <w:rPr>
          <w:rFonts w:ascii="Arial" w:hAnsi="Arial" w:cs="Arial"/>
          <w:bCs/>
          <w:sz w:val="18"/>
          <w:szCs w:val="18"/>
        </w:rPr>
        <w:t>commercial ELISA kit results</w:t>
      </w:r>
      <w:proofErr w:type="gramEnd"/>
      <w:r>
        <w:rPr>
          <w:rFonts w:ascii="Arial" w:hAnsi="Arial" w:cs="Arial"/>
          <w:bCs/>
          <w:sz w:val="18"/>
          <w:szCs w:val="18"/>
        </w:rPr>
        <w:t>:</w:t>
      </w:r>
    </w:p>
    <w:p w14:paraId="07AAC3DA" w14:textId="77777777" w:rsidR="009B171E" w:rsidRDefault="009B171E">
      <w:pPr>
        <w:tabs>
          <w:tab w:val="left" w:pos="360"/>
        </w:tabs>
        <w:jc w:val="both"/>
        <w:rPr>
          <w:rFonts w:ascii="Arial" w:hAnsi="Arial" w:cs="Arial"/>
          <w:bCs/>
          <w:sz w:val="18"/>
          <w:szCs w:val="18"/>
        </w:rPr>
      </w:pPr>
    </w:p>
    <w:tbl>
      <w:tblPr>
        <w:tblStyle w:val="TableGrid"/>
        <w:tblW w:w="4101" w:type="dxa"/>
        <w:tblLook w:val="04A0" w:firstRow="1" w:lastRow="0" w:firstColumn="1" w:lastColumn="0" w:noHBand="0" w:noVBand="1"/>
      </w:tblPr>
      <w:tblGrid>
        <w:gridCol w:w="727"/>
        <w:gridCol w:w="617"/>
        <w:gridCol w:w="1912"/>
        <w:gridCol w:w="845"/>
      </w:tblGrid>
      <w:tr w:rsidR="009B171E" w14:paraId="0AE5585C" w14:textId="77777777" w:rsidTr="00BE6234">
        <w:trPr>
          <w:trHeight w:val="73"/>
        </w:trPr>
        <w:tc>
          <w:tcPr>
            <w:tcW w:w="1344" w:type="dxa"/>
            <w:gridSpan w:val="2"/>
            <w:vMerge w:val="restart"/>
          </w:tcPr>
          <w:p w14:paraId="3D2838F8" w14:textId="77777777" w:rsidR="009B171E" w:rsidRDefault="009B171E">
            <w:pPr>
              <w:tabs>
                <w:tab w:val="left" w:pos="360"/>
              </w:tabs>
              <w:jc w:val="both"/>
              <w:rPr>
                <w:rFonts w:ascii="Arial" w:hAnsi="Arial" w:cs="Arial"/>
                <w:bCs/>
                <w:sz w:val="18"/>
                <w:szCs w:val="18"/>
              </w:rPr>
            </w:pPr>
          </w:p>
        </w:tc>
        <w:tc>
          <w:tcPr>
            <w:tcW w:w="2757" w:type="dxa"/>
            <w:gridSpan w:val="2"/>
          </w:tcPr>
          <w:p w14:paraId="4B1E5377" w14:textId="77777777" w:rsidR="009B171E" w:rsidRDefault="009B171E">
            <w:pPr>
              <w:tabs>
                <w:tab w:val="left" w:pos="360"/>
              </w:tabs>
              <w:jc w:val="center"/>
              <w:rPr>
                <w:rFonts w:ascii="Arial" w:hAnsi="Arial" w:cs="Arial"/>
                <w:bCs/>
                <w:sz w:val="18"/>
                <w:szCs w:val="18"/>
              </w:rPr>
            </w:pPr>
          </w:p>
          <w:p w14:paraId="6574E01C" w14:textId="77777777" w:rsidR="009B171E" w:rsidRDefault="00000000">
            <w:pPr>
              <w:tabs>
                <w:tab w:val="left" w:pos="360"/>
              </w:tabs>
              <w:jc w:val="center"/>
              <w:rPr>
                <w:rFonts w:ascii="Arial" w:hAnsi="Arial" w:cs="Arial"/>
                <w:bCs/>
                <w:sz w:val="18"/>
                <w:szCs w:val="18"/>
              </w:rPr>
            </w:pPr>
            <w:r>
              <w:rPr>
                <w:rFonts w:ascii="Arial" w:hAnsi="Arial" w:cs="Arial"/>
                <w:bCs/>
                <w:sz w:val="18"/>
                <w:szCs w:val="18"/>
              </w:rPr>
              <w:t>Reference ELISA</w:t>
            </w:r>
          </w:p>
          <w:p w14:paraId="4FC670E1" w14:textId="77777777" w:rsidR="009B171E" w:rsidRDefault="009B171E">
            <w:pPr>
              <w:tabs>
                <w:tab w:val="left" w:pos="360"/>
              </w:tabs>
              <w:jc w:val="both"/>
              <w:rPr>
                <w:rFonts w:ascii="Arial" w:hAnsi="Arial" w:cs="Arial"/>
                <w:bCs/>
                <w:sz w:val="18"/>
                <w:szCs w:val="18"/>
              </w:rPr>
            </w:pPr>
          </w:p>
        </w:tc>
      </w:tr>
      <w:tr w:rsidR="00BE6234" w14:paraId="7E6124B2" w14:textId="77777777" w:rsidTr="00BE6234">
        <w:tc>
          <w:tcPr>
            <w:tcW w:w="1344" w:type="dxa"/>
            <w:gridSpan w:val="2"/>
            <w:vMerge/>
          </w:tcPr>
          <w:p w14:paraId="1B7B7520" w14:textId="77777777" w:rsidR="009B171E" w:rsidRDefault="009B171E">
            <w:pPr>
              <w:tabs>
                <w:tab w:val="left" w:pos="360"/>
              </w:tabs>
              <w:jc w:val="both"/>
              <w:rPr>
                <w:rFonts w:ascii="Arial" w:hAnsi="Arial" w:cs="Arial"/>
                <w:bCs/>
                <w:sz w:val="18"/>
                <w:szCs w:val="18"/>
              </w:rPr>
            </w:pPr>
          </w:p>
        </w:tc>
        <w:tc>
          <w:tcPr>
            <w:tcW w:w="1912" w:type="dxa"/>
          </w:tcPr>
          <w:p w14:paraId="6A490CD6" w14:textId="77777777" w:rsidR="009B171E" w:rsidRDefault="00000000">
            <w:pPr>
              <w:tabs>
                <w:tab w:val="left" w:pos="360"/>
              </w:tabs>
              <w:jc w:val="both"/>
              <w:rPr>
                <w:rFonts w:ascii="Arial" w:hAnsi="Arial" w:cs="Arial"/>
                <w:bCs/>
                <w:sz w:val="18"/>
                <w:szCs w:val="18"/>
              </w:rPr>
            </w:pPr>
            <w:r>
              <w:rPr>
                <w:rFonts w:ascii="Arial" w:hAnsi="Arial" w:cs="Arial"/>
                <w:bCs/>
                <w:sz w:val="18"/>
                <w:szCs w:val="18"/>
              </w:rPr>
              <w:t>N</w:t>
            </w:r>
            <w:r>
              <w:rPr>
                <w:rFonts w:ascii="Arial" w:hAnsi="Arial" w:cs="Arial"/>
                <w:bCs/>
                <w:sz w:val="18"/>
                <w:szCs w:val="18"/>
              </w:rPr>
              <w:tab/>
              <w:t xml:space="preserve">        E</w:t>
            </w:r>
            <w:r>
              <w:rPr>
                <w:rFonts w:ascii="Arial" w:hAnsi="Arial" w:cs="Arial"/>
                <w:bCs/>
                <w:sz w:val="18"/>
                <w:szCs w:val="18"/>
              </w:rPr>
              <w:tab/>
              <w:t>P</w:t>
            </w:r>
          </w:p>
        </w:tc>
        <w:tc>
          <w:tcPr>
            <w:tcW w:w="845" w:type="dxa"/>
          </w:tcPr>
          <w:p w14:paraId="0F7E6123" w14:textId="77777777" w:rsidR="009B171E" w:rsidRDefault="00000000">
            <w:pPr>
              <w:tabs>
                <w:tab w:val="left" w:pos="360"/>
              </w:tabs>
              <w:jc w:val="both"/>
              <w:rPr>
                <w:rFonts w:ascii="Arial" w:hAnsi="Arial" w:cs="Arial"/>
                <w:bCs/>
                <w:sz w:val="18"/>
                <w:szCs w:val="18"/>
              </w:rPr>
            </w:pPr>
            <w:r>
              <w:rPr>
                <w:rFonts w:ascii="Arial" w:hAnsi="Arial" w:cs="Arial"/>
                <w:bCs/>
                <w:sz w:val="18"/>
                <w:szCs w:val="18"/>
              </w:rPr>
              <w:t xml:space="preserve">    Total</w:t>
            </w:r>
          </w:p>
        </w:tc>
      </w:tr>
      <w:tr w:rsidR="00BE6234" w14:paraId="3DE419D6" w14:textId="77777777" w:rsidTr="00BE6234">
        <w:trPr>
          <w:trHeight w:val="121"/>
        </w:trPr>
        <w:tc>
          <w:tcPr>
            <w:tcW w:w="727" w:type="dxa"/>
            <w:vMerge w:val="restart"/>
          </w:tcPr>
          <w:p w14:paraId="6FC9CE93" w14:textId="77777777" w:rsidR="009B171E" w:rsidRDefault="009B171E">
            <w:pPr>
              <w:tabs>
                <w:tab w:val="left" w:pos="360"/>
              </w:tabs>
              <w:jc w:val="both"/>
              <w:rPr>
                <w:rFonts w:ascii="Arial" w:hAnsi="Arial" w:cs="Arial"/>
                <w:bCs/>
                <w:sz w:val="18"/>
                <w:szCs w:val="18"/>
              </w:rPr>
            </w:pPr>
          </w:p>
          <w:p w14:paraId="2C06DECE" w14:textId="77777777" w:rsidR="009B171E" w:rsidRDefault="009B171E">
            <w:pPr>
              <w:tabs>
                <w:tab w:val="left" w:pos="360"/>
              </w:tabs>
              <w:jc w:val="both"/>
              <w:rPr>
                <w:rFonts w:ascii="Arial" w:hAnsi="Arial" w:cs="Arial"/>
                <w:bCs/>
                <w:sz w:val="18"/>
                <w:szCs w:val="18"/>
              </w:rPr>
            </w:pPr>
          </w:p>
          <w:p w14:paraId="1E9E52FD" w14:textId="77777777" w:rsidR="009B171E" w:rsidRDefault="00000000">
            <w:pPr>
              <w:tabs>
                <w:tab w:val="left" w:pos="360"/>
              </w:tabs>
              <w:jc w:val="both"/>
              <w:rPr>
                <w:rFonts w:ascii="Arial" w:hAnsi="Arial" w:cs="Arial"/>
                <w:bCs/>
                <w:sz w:val="18"/>
                <w:szCs w:val="18"/>
              </w:rPr>
            </w:pPr>
            <w:r>
              <w:rPr>
                <w:rFonts w:ascii="Arial" w:hAnsi="Arial" w:cs="Arial"/>
                <w:bCs/>
                <w:sz w:val="18"/>
                <w:szCs w:val="18"/>
              </w:rPr>
              <w:t>TOXO IgG ELISA</w:t>
            </w:r>
          </w:p>
        </w:tc>
        <w:tc>
          <w:tcPr>
            <w:tcW w:w="617" w:type="dxa"/>
          </w:tcPr>
          <w:p w14:paraId="3AE278B2" w14:textId="77777777" w:rsidR="009B171E" w:rsidRDefault="00000000">
            <w:pPr>
              <w:tabs>
                <w:tab w:val="left" w:pos="360"/>
              </w:tabs>
              <w:jc w:val="both"/>
              <w:rPr>
                <w:rFonts w:ascii="Arial" w:hAnsi="Arial" w:cs="Arial"/>
                <w:bCs/>
                <w:sz w:val="18"/>
                <w:szCs w:val="18"/>
              </w:rPr>
            </w:pPr>
            <w:r>
              <w:rPr>
                <w:rFonts w:ascii="Arial" w:hAnsi="Arial" w:cs="Arial"/>
                <w:bCs/>
                <w:sz w:val="18"/>
                <w:szCs w:val="18"/>
              </w:rPr>
              <w:t>N</w:t>
            </w:r>
            <w:r>
              <w:rPr>
                <w:rFonts w:ascii="Arial" w:hAnsi="Arial" w:cs="Arial"/>
                <w:bCs/>
                <w:sz w:val="18"/>
                <w:szCs w:val="18"/>
              </w:rPr>
              <w:tab/>
            </w:r>
          </w:p>
          <w:p w14:paraId="1D3D14C4" w14:textId="77777777" w:rsidR="009B171E" w:rsidRDefault="00000000">
            <w:pPr>
              <w:tabs>
                <w:tab w:val="left" w:pos="360"/>
              </w:tabs>
              <w:jc w:val="both"/>
              <w:rPr>
                <w:rFonts w:ascii="Arial" w:hAnsi="Arial" w:cs="Arial"/>
                <w:bCs/>
                <w:sz w:val="18"/>
                <w:szCs w:val="18"/>
              </w:rPr>
            </w:pPr>
            <w:r>
              <w:rPr>
                <w:rFonts w:ascii="Arial" w:hAnsi="Arial" w:cs="Arial"/>
                <w:bCs/>
                <w:sz w:val="18"/>
                <w:szCs w:val="18"/>
              </w:rPr>
              <w:t>E</w:t>
            </w:r>
            <w:r>
              <w:rPr>
                <w:rFonts w:ascii="Arial" w:hAnsi="Arial" w:cs="Arial"/>
                <w:bCs/>
                <w:sz w:val="18"/>
                <w:szCs w:val="18"/>
              </w:rPr>
              <w:tab/>
            </w:r>
          </w:p>
          <w:p w14:paraId="4B525D59" w14:textId="77777777" w:rsidR="009B171E" w:rsidRDefault="00000000">
            <w:pPr>
              <w:tabs>
                <w:tab w:val="left" w:pos="360"/>
              </w:tabs>
              <w:jc w:val="both"/>
              <w:rPr>
                <w:rFonts w:ascii="Arial" w:hAnsi="Arial" w:cs="Arial"/>
                <w:bCs/>
                <w:sz w:val="18"/>
                <w:szCs w:val="18"/>
              </w:rPr>
            </w:pPr>
            <w:r>
              <w:rPr>
                <w:rFonts w:ascii="Arial" w:hAnsi="Arial" w:cs="Arial"/>
                <w:bCs/>
                <w:sz w:val="18"/>
                <w:szCs w:val="18"/>
              </w:rPr>
              <w:t>P</w:t>
            </w:r>
          </w:p>
        </w:tc>
        <w:tc>
          <w:tcPr>
            <w:tcW w:w="1912" w:type="dxa"/>
          </w:tcPr>
          <w:p w14:paraId="31D3F760" w14:textId="77777777" w:rsidR="009B171E" w:rsidRDefault="00000000">
            <w:pPr>
              <w:tabs>
                <w:tab w:val="left" w:pos="360"/>
              </w:tabs>
              <w:jc w:val="both"/>
              <w:rPr>
                <w:rFonts w:ascii="Arial" w:hAnsi="Arial" w:cs="Arial"/>
                <w:bCs/>
                <w:sz w:val="18"/>
                <w:szCs w:val="18"/>
              </w:rPr>
            </w:pPr>
            <w:r>
              <w:rPr>
                <w:rFonts w:ascii="Arial" w:hAnsi="Arial" w:cs="Arial"/>
                <w:bCs/>
                <w:sz w:val="18"/>
                <w:szCs w:val="18"/>
              </w:rPr>
              <w:t>56 (D)</w:t>
            </w:r>
            <w:r>
              <w:rPr>
                <w:rFonts w:ascii="Arial" w:hAnsi="Arial" w:cs="Arial"/>
                <w:bCs/>
                <w:sz w:val="18"/>
                <w:szCs w:val="18"/>
              </w:rPr>
              <w:tab/>
              <w:t xml:space="preserve"> 0          2 (B)</w:t>
            </w:r>
          </w:p>
          <w:p w14:paraId="2BC5E1C3" w14:textId="77777777" w:rsidR="009B171E" w:rsidRDefault="00000000">
            <w:pPr>
              <w:tabs>
                <w:tab w:val="left" w:pos="360"/>
              </w:tabs>
              <w:jc w:val="both"/>
              <w:rPr>
                <w:rFonts w:ascii="Arial" w:hAnsi="Arial" w:cs="Arial"/>
                <w:bCs/>
                <w:sz w:val="18"/>
                <w:szCs w:val="18"/>
              </w:rPr>
            </w:pPr>
            <w:r>
              <w:rPr>
                <w:rFonts w:ascii="Arial" w:hAnsi="Arial" w:cs="Arial"/>
                <w:bCs/>
                <w:sz w:val="18"/>
                <w:szCs w:val="18"/>
              </w:rPr>
              <w:t xml:space="preserve">  0           0</w:t>
            </w:r>
            <w:r>
              <w:rPr>
                <w:rFonts w:ascii="Arial" w:hAnsi="Arial" w:cs="Arial"/>
                <w:bCs/>
                <w:sz w:val="18"/>
                <w:szCs w:val="18"/>
              </w:rPr>
              <w:tab/>
              <w:t xml:space="preserve"> 0</w:t>
            </w:r>
          </w:p>
          <w:p w14:paraId="6172BF0B" w14:textId="77777777" w:rsidR="009B171E" w:rsidRDefault="00000000">
            <w:pPr>
              <w:tabs>
                <w:tab w:val="left" w:pos="360"/>
              </w:tabs>
              <w:jc w:val="both"/>
              <w:rPr>
                <w:rFonts w:ascii="Arial" w:hAnsi="Arial" w:cs="Arial"/>
                <w:bCs/>
                <w:sz w:val="18"/>
                <w:szCs w:val="18"/>
              </w:rPr>
            </w:pPr>
            <w:r>
              <w:rPr>
                <w:rFonts w:ascii="Arial" w:hAnsi="Arial" w:cs="Arial"/>
                <w:bCs/>
                <w:sz w:val="18"/>
                <w:szCs w:val="18"/>
              </w:rPr>
              <w:t>0(C)</w:t>
            </w:r>
            <w:r>
              <w:rPr>
                <w:rFonts w:ascii="Arial" w:hAnsi="Arial" w:cs="Arial"/>
                <w:bCs/>
                <w:sz w:val="18"/>
                <w:szCs w:val="18"/>
              </w:rPr>
              <w:tab/>
              <w:t xml:space="preserve">        0       30(A)</w:t>
            </w:r>
            <w:r>
              <w:rPr>
                <w:rFonts w:ascii="Arial" w:hAnsi="Arial" w:cs="Arial"/>
                <w:bCs/>
                <w:sz w:val="18"/>
                <w:szCs w:val="18"/>
              </w:rPr>
              <w:tab/>
            </w:r>
          </w:p>
        </w:tc>
        <w:tc>
          <w:tcPr>
            <w:tcW w:w="845" w:type="dxa"/>
          </w:tcPr>
          <w:p w14:paraId="0A17F499" w14:textId="77777777" w:rsidR="009B171E" w:rsidRDefault="00000000">
            <w:pPr>
              <w:tabs>
                <w:tab w:val="left" w:pos="360"/>
              </w:tabs>
              <w:jc w:val="both"/>
              <w:rPr>
                <w:rFonts w:ascii="Arial" w:hAnsi="Arial" w:cs="Arial"/>
                <w:bCs/>
                <w:sz w:val="18"/>
                <w:szCs w:val="18"/>
              </w:rPr>
            </w:pPr>
            <w:r>
              <w:rPr>
                <w:rFonts w:ascii="Arial" w:hAnsi="Arial" w:cs="Arial"/>
                <w:bCs/>
                <w:sz w:val="18"/>
                <w:szCs w:val="18"/>
              </w:rPr>
              <w:t xml:space="preserve">      58</w:t>
            </w:r>
          </w:p>
          <w:p w14:paraId="540F3EC3" w14:textId="77777777" w:rsidR="009B171E" w:rsidRDefault="00000000">
            <w:pPr>
              <w:tabs>
                <w:tab w:val="left" w:pos="360"/>
              </w:tabs>
              <w:jc w:val="both"/>
              <w:rPr>
                <w:rFonts w:ascii="Arial" w:hAnsi="Arial" w:cs="Arial"/>
                <w:bCs/>
                <w:sz w:val="18"/>
                <w:szCs w:val="18"/>
              </w:rPr>
            </w:pPr>
            <w:r>
              <w:rPr>
                <w:rFonts w:ascii="Arial" w:hAnsi="Arial" w:cs="Arial"/>
                <w:bCs/>
                <w:sz w:val="18"/>
                <w:szCs w:val="18"/>
              </w:rPr>
              <w:t xml:space="preserve">      0</w:t>
            </w:r>
          </w:p>
          <w:p w14:paraId="67E7ACFB" w14:textId="77777777" w:rsidR="009B171E" w:rsidRDefault="00000000">
            <w:pPr>
              <w:tabs>
                <w:tab w:val="left" w:pos="360"/>
              </w:tabs>
              <w:jc w:val="both"/>
              <w:rPr>
                <w:rFonts w:ascii="Arial" w:hAnsi="Arial" w:cs="Arial"/>
                <w:bCs/>
                <w:sz w:val="18"/>
                <w:szCs w:val="18"/>
              </w:rPr>
            </w:pPr>
            <w:r>
              <w:rPr>
                <w:rFonts w:ascii="Arial" w:hAnsi="Arial" w:cs="Arial"/>
                <w:bCs/>
                <w:sz w:val="18"/>
                <w:szCs w:val="18"/>
              </w:rPr>
              <w:t xml:space="preserve">     30</w:t>
            </w:r>
          </w:p>
        </w:tc>
      </w:tr>
      <w:tr w:rsidR="00BE6234" w14:paraId="05F1C40C" w14:textId="77777777" w:rsidTr="00BE6234">
        <w:tc>
          <w:tcPr>
            <w:tcW w:w="727" w:type="dxa"/>
            <w:vMerge/>
          </w:tcPr>
          <w:p w14:paraId="72BFFBDC" w14:textId="77777777" w:rsidR="009B171E" w:rsidRDefault="009B171E">
            <w:pPr>
              <w:tabs>
                <w:tab w:val="left" w:pos="360"/>
              </w:tabs>
              <w:jc w:val="both"/>
              <w:rPr>
                <w:rFonts w:ascii="Arial" w:hAnsi="Arial" w:cs="Arial"/>
                <w:bCs/>
                <w:sz w:val="18"/>
                <w:szCs w:val="18"/>
              </w:rPr>
            </w:pPr>
          </w:p>
        </w:tc>
        <w:tc>
          <w:tcPr>
            <w:tcW w:w="617" w:type="dxa"/>
          </w:tcPr>
          <w:p w14:paraId="4A2E0DF3" w14:textId="77777777" w:rsidR="009B171E" w:rsidRDefault="00000000">
            <w:pPr>
              <w:tabs>
                <w:tab w:val="left" w:pos="360"/>
              </w:tabs>
              <w:jc w:val="both"/>
              <w:rPr>
                <w:rFonts w:ascii="Arial" w:hAnsi="Arial" w:cs="Arial"/>
                <w:bCs/>
                <w:sz w:val="18"/>
                <w:szCs w:val="18"/>
              </w:rPr>
            </w:pPr>
            <w:r>
              <w:rPr>
                <w:rFonts w:ascii="Arial" w:hAnsi="Arial" w:cs="Arial"/>
                <w:bCs/>
                <w:sz w:val="18"/>
                <w:szCs w:val="18"/>
              </w:rPr>
              <w:t>Total</w:t>
            </w:r>
          </w:p>
          <w:p w14:paraId="63D9F3D3" w14:textId="77777777" w:rsidR="009B171E" w:rsidRDefault="009B171E">
            <w:pPr>
              <w:tabs>
                <w:tab w:val="left" w:pos="360"/>
              </w:tabs>
              <w:jc w:val="both"/>
              <w:rPr>
                <w:rFonts w:ascii="Arial" w:hAnsi="Arial" w:cs="Arial"/>
                <w:bCs/>
                <w:sz w:val="18"/>
                <w:szCs w:val="18"/>
              </w:rPr>
            </w:pPr>
          </w:p>
        </w:tc>
        <w:tc>
          <w:tcPr>
            <w:tcW w:w="1912" w:type="dxa"/>
          </w:tcPr>
          <w:p w14:paraId="3B6BC99B" w14:textId="77777777" w:rsidR="009B171E" w:rsidRPr="00D612B3" w:rsidRDefault="00000000">
            <w:pPr>
              <w:tabs>
                <w:tab w:val="left" w:pos="360"/>
              </w:tabs>
              <w:jc w:val="both"/>
              <w:rPr>
                <w:rFonts w:ascii="Arial" w:hAnsi="Arial" w:cs="Arial"/>
                <w:bCs/>
                <w:sz w:val="18"/>
                <w:szCs w:val="18"/>
              </w:rPr>
            </w:pPr>
            <w:r w:rsidRPr="00D612B3">
              <w:rPr>
                <w:rFonts w:ascii="Arial" w:hAnsi="Arial" w:cs="Arial"/>
              </w:rPr>
              <w:t>56           0</w:t>
            </w:r>
            <w:r w:rsidRPr="00D612B3">
              <w:rPr>
                <w:rFonts w:ascii="Arial" w:hAnsi="Arial" w:cs="Arial"/>
              </w:rPr>
              <w:tab/>
              <w:t>32</w:t>
            </w:r>
          </w:p>
        </w:tc>
        <w:tc>
          <w:tcPr>
            <w:tcW w:w="845" w:type="dxa"/>
          </w:tcPr>
          <w:p w14:paraId="312224FD" w14:textId="77777777" w:rsidR="009B171E" w:rsidRPr="00D612B3" w:rsidRDefault="00000000">
            <w:pPr>
              <w:tabs>
                <w:tab w:val="left" w:pos="360"/>
              </w:tabs>
              <w:jc w:val="both"/>
              <w:rPr>
                <w:rFonts w:ascii="Arial" w:hAnsi="Arial" w:cs="Arial"/>
                <w:bCs/>
                <w:sz w:val="18"/>
                <w:szCs w:val="18"/>
              </w:rPr>
            </w:pPr>
            <w:r w:rsidRPr="00D612B3">
              <w:rPr>
                <w:rFonts w:ascii="Arial" w:hAnsi="Arial" w:cs="Arial"/>
              </w:rPr>
              <w:t xml:space="preserve">      88</w:t>
            </w:r>
          </w:p>
        </w:tc>
      </w:tr>
    </w:tbl>
    <w:p w14:paraId="26FAB470" w14:textId="77777777" w:rsidR="009B171E" w:rsidRDefault="009B171E">
      <w:pPr>
        <w:tabs>
          <w:tab w:val="left" w:pos="360"/>
        </w:tabs>
        <w:jc w:val="both"/>
        <w:rPr>
          <w:rFonts w:ascii="Arial" w:hAnsi="Arial" w:cs="Arial"/>
          <w:bCs/>
          <w:sz w:val="18"/>
          <w:szCs w:val="18"/>
        </w:rPr>
      </w:pPr>
    </w:p>
    <w:p w14:paraId="7AE8E960" w14:textId="77777777" w:rsidR="009B171E" w:rsidRDefault="00000000">
      <w:pPr>
        <w:tabs>
          <w:tab w:val="left" w:pos="360"/>
        </w:tabs>
        <w:jc w:val="both"/>
        <w:rPr>
          <w:rFonts w:ascii="Arial" w:hAnsi="Arial" w:cs="Arial"/>
          <w:bCs/>
          <w:sz w:val="18"/>
          <w:szCs w:val="18"/>
        </w:rPr>
      </w:pPr>
      <w:r>
        <w:rPr>
          <w:rFonts w:ascii="Arial" w:hAnsi="Arial" w:cs="Arial"/>
          <w:bCs/>
          <w:sz w:val="18"/>
          <w:szCs w:val="18"/>
        </w:rPr>
        <w:t>Sensitivity = 94%</w:t>
      </w:r>
    </w:p>
    <w:p w14:paraId="544E0D06" w14:textId="77777777" w:rsidR="009B171E" w:rsidRDefault="00000000">
      <w:pPr>
        <w:tabs>
          <w:tab w:val="left" w:pos="360"/>
        </w:tabs>
        <w:jc w:val="both"/>
        <w:rPr>
          <w:rFonts w:ascii="Arial" w:hAnsi="Arial" w:cs="Arial"/>
          <w:bCs/>
          <w:sz w:val="18"/>
          <w:szCs w:val="18"/>
        </w:rPr>
      </w:pPr>
      <w:r>
        <w:rPr>
          <w:rFonts w:ascii="Arial" w:hAnsi="Arial" w:cs="Arial"/>
          <w:bCs/>
          <w:sz w:val="18"/>
          <w:szCs w:val="18"/>
        </w:rPr>
        <w:t>Specificity = 100%</w:t>
      </w:r>
    </w:p>
    <w:p w14:paraId="5156707A" w14:textId="77777777" w:rsidR="009B171E" w:rsidRDefault="00000000">
      <w:pPr>
        <w:tabs>
          <w:tab w:val="left" w:pos="360"/>
        </w:tabs>
        <w:jc w:val="both"/>
        <w:rPr>
          <w:rFonts w:ascii="Arial" w:hAnsi="Arial" w:cs="Arial"/>
          <w:bCs/>
          <w:sz w:val="18"/>
          <w:szCs w:val="18"/>
        </w:rPr>
      </w:pPr>
      <w:r>
        <w:rPr>
          <w:rFonts w:ascii="Arial" w:hAnsi="Arial" w:cs="Arial"/>
          <w:bCs/>
          <w:sz w:val="18"/>
          <w:szCs w:val="18"/>
        </w:rPr>
        <w:t>Accuracy= 98%</w:t>
      </w:r>
    </w:p>
    <w:p w14:paraId="3C89349C" w14:textId="77777777" w:rsidR="00D612B3" w:rsidRDefault="00D612B3">
      <w:pPr>
        <w:tabs>
          <w:tab w:val="left" w:pos="360"/>
        </w:tabs>
        <w:jc w:val="both"/>
        <w:rPr>
          <w:rFonts w:ascii="Arial" w:hAnsi="Arial" w:cs="Arial"/>
          <w:bCs/>
          <w:sz w:val="18"/>
          <w:szCs w:val="18"/>
        </w:rPr>
      </w:pPr>
    </w:p>
    <w:p w14:paraId="7C25D53A" w14:textId="77777777" w:rsidR="009B171E" w:rsidRDefault="00000000">
      <w:pPr>
        <w:tabs>
          <w:tab w:val="left" w:pos="360"/>
        </w:tabs>
        <w:jc w:val="both"/>
        <w:rPr>
          <w:rFonts w:ascii="Arial" w:hAnsi="Arial" w:cs="Arial"/>
          <w:bCs/>
          <w:sz w:val="18"/>
          <w:szCs w:val="18"/>
        </w:rPr>
      </w:pPr>
      <w:r>
        <w:rPr>
          <w:rFonts w:ascii="Arial" w:hAnsi="Arial" w:cs="Arial"/>
          <w:bCs/>
          <w:sz w:val="18"/>
          <w:szCs w:val="18"/>
        </w:rPr>
        <w:t>IMPORTANT NOTE</w:t>
      </w:r>
    </w:p>
    <w:p w14:paraId="52721B43" w14:textId="77777777" w:rsidR="009B171E" w:rsidRDefault="00000000">
      <w:pPr>
        <w:pStyle w:val="ListParagraph"/>
        <w:numPr>
          <w:ilvl w:val="0"/>
          <w:numId w:val="1"/>
        </w:numPr>
        <w:tabs>
          <w:tab w:val="left" w:pos="426"/>
        </w:tabs>
        <w:jc w:val="both"/>
        <w:rPr>
          <w:rFonts w:ascii="Arial" w:hAnsi="Arial" w:cs="Arial"/>
          <w:bCs/>
          <w:sz w:val="18"/>
          <w:szCs w:val="18"/>
        </w:rPr>
      </w:pPr>
      <w:r>
        <w:rPr>
          <w:rFonts w:ascii="Arial" w:hAnsi="Arial" w:cs="Arial"/>
          <w:bCs/>
          <w:sz w:val="18"/>
          <w:szCs w:val="18"/>
        </w:rPr>
        <w:t>This assay is a temperature sensitive assay.  The best temperature condition for this assay is 37°C.</w:t>
      </w:r>
    </w:p>
    <w:p w14:paraId="7E8CC9A7" w14:textId="77777777" w:rsidR="009B171E" w:rsidRDefault="00000000">
      <w:pPr>
        <w:pStyle w:val="ListParagraph"/>
        <w:numPr>
          <w:ilvl w:val="0"/>
          <w:numId w:val="1"/>
        </w:numPr>
        <w:tabs>
          <w:tab w:val="left" w:pos="426"/>
        </w:tabs>
        <w:jc w:val="both"/>
        <w:rPr>
          <w:rFonts w:ascii="Arial" w:hAnsi="Arial" w:cs="Arial"/>
          <w:bCs/>
          <w:sz w:val="18"/>
          <w:szCs w:val="18"/>
        </w:rPr>
      </w:pPr>
      <w:r>
        <w:rPr>
          <w:rFonts w:ascii="Arial" w:hAnsi="Arial" w:cs="Arial"/>
          <w:bCs/>
          <w:sz w:val="18"/>
          <w:szCs w:val="18"/>
        </w:rPr>
        <w:t>The wash procedure is critical. Insufficient washing will result in poor precision and falsely elevated absorbance readings.</w:t>
      </w:r>
    </w:p>
    <w:p w14:paraId="7A211695" w14:textId="77777777" w:rsidR="009B171E" w:rsidRDefault="00000000">
      <w:pPr>
        <w:pStyle w:val="ListParagraph"/>
        <w:numPr>
          <w:ilvl w:val="0"/>
          <w:numId w:val="1"/>
        </w:numPr>
        <w:tabs>
          <w:tab w:val="left" w:pos="426"/>
        </w:tabs>
        <w:jc w:val="both"/>
        <w:rPr>
          <w:rFonts w:ascii="Arial" w:hAnsi="Arial" w:cs="Arial"/>
          <w:bCs/>
          <w:sz w:val="18"/>
          <w:szCs w:val="18"/>
        </w:rPr>
      </w:pPr>
      <w:r>
        <w:rPr>
          <w:rFonts w:ascii="Arial" w:hAnsi="Arial" w:cs="Arial"/>
          <w:bCs/>
          <w:sz w:val="18"/>
          <w:szCs w:val="18"/>
        </w:rPr>
        <w:t xml:space="preserve">It is recommended to use the </w:t>
      </w:r>
      <w:proofErr w:type="spellStart"/>
      <w:r>
        <w:rPr>
          <w:rFonts w:ascii="Arial" w:hAnsi="Arial" w:cs="Arial"/>
          <w:bCs/>
          <w:sz w:val="18"/>
          <w:szCs w:val="18"/>
        </w:rPr>
        <w:t>multi channel</w:t>
      </w:r>
      <w:proofErr w:type="spellEnd"/>
      <w:r>
        <w:rPr>
          <w:rFonts w:ascii="Arial" w:hAnsi="Arial" w:cs="Arial"/>
          <w:bCs/>
          <w:sz w:val="18"/>
          <w:szCs w:val="18"/>
        </w:rPr>
        <w:t xml:space="preserve"> pipettes to avoid time effect. A full plate of 96 wells may be used if automated pipetting is available.</w:t>
      </w:r>
    </w:p>
    <w:p w14:paraId="626C4957" w14:textId="77777777" w:rsidR="009B171E" w:rsidRDefault="00000000">
      <w:pPr>
        <w:pStyle w:val="ListParagraph"/>
        <w:numPr>
          <w:ilvl w:val="0"/>
          <w:numId w:val="1"/>
        </w:numPr>
        <w:tabs>
          <w:tab w:val="left" w:pos="426"/>
        </w:tabs>
        <w:jc w:val="both"/>
        <w:rPr>
          <w:rFonts w:ascii="Arial" w:hAnsi="Arial" w:cs="Arial"/>
          <w:bCs/>
          <w:sz w:val="18"/>
          <w:szCs w:val="18"/>
        </w:rPr>
      </w:pPr>
      <w:r>
        <w:rPr>
          <w:rFonts w:ascii="Arial" w:hAnsi="Arial" w:cs="Arial"/>
          <w:bCs/>
          <w:sz w:val="18"/>
          <w:szCs w:val="18"/>
        </w:rPr>
        <w:t>Duplication of Calibrators, controls &amp; samples is not mandatory but may provide information on reproducibility &amp; application errors.</w:t>
      </w:r>
    </w:p>
    <w:p w14:paraId="6F466824" w14:textId="77777777" w:rsidR="009B171E" w:rsidRDefault="009B171E">
      <w:pPr>
        <w:tabs>
          <w:tab w:val="left" w:pos="426"/>
        </w:tabs>
        <w:jc w:val="both"/>
        <w:rPr>
          <w:rFonts w:ascii="Arial" w:hAnsi="Arial" w:cs="Arial"/>
          <w:bCs/>
          <w:sz w:val="18"/>
          <w:szCs w:val="18"/>
        </w:rPr>
      </w:pPr>
    </w:p>
    <w:p w14:paraId="7B162F9A" w14:textId="77777777" w:rsidR="009B171E" w:rsidRDefault="00000000">
      <w:pPr>
        <w:tabs>
          <w:tab w:val="left" w:pos="360"/>
        </w:tabs>
        <w:jc w:val="both"/>
        <w:rPr>
          <w:rFonts w:ascii="Arial" w:hAnsi="Arial" w:cs="Arial"/>
          <w:bCs/>
          <w:sz w:val="18"/>
          <w:szCs w:val="18"/>
        </w:rPr>
      </w:pPr>
      <w:r>
        <w:rPr>
          <w:rFonts w:ascii="Arial" w:hAnsi="Arial" w:cs="Arial"/>
          <w:bCs/>
          <w:sz w:val="18"/>
          <w:szCs w:val="18"/>
        </w:rPr>
        <w:t>LIMITATIONS OF THE ASSAY</w:t>
      </w:r>
    </w:p>
    <w:p w14:paraId="1D2D10F9" w14:textId="77777777" w:rsidR="009B171E" w:rsidRDefault="00000000">
      <w:pPr>
        <w:pStyle w:val="ListParagraph"/>
        <w:numPr>
          <w:ilvl w:val="0"/>
          <w:numId w:val="2"/>
        </w:numPr>
        <w:tabs>
          <w:tab w:val="left" w:pos="360"/>
        </w:tabs>
        <w:ind w:left="709" w:hanging="425"/>
        <w:jc w:val="both"/>
        <w:rPr>
          <w:rFonts w:ascii="Arial" w:hAnsi="Arial" w:cs="Arial"/>
          <w:bCs/>
          <w:sz w:val="18"/>
          <w:szCs w:val="18"/>
        </w:rPr>
      </w:pPr>
      <w:r>
        <w:rPr>
          <w:rFonts w:ascii="Arial" w:hAnsi="Arial" w:cs="Arial"/>
          <w:bCs/>
          <w:sz w:val="18"/>
          <w:szCs w:val="18"/>
        </w:rPr>
        <w:t>Lipemic, hemolyzed, icteric or heat inactivated sera may cause erroneous results.</w:t>
      </w:r>
    </w:p>
    <w:p w14:paraId="64F0D4D4" w14:textId="77777777" w:rsidR="009B171E" w:rsidRDefault="00000000">
      <w:pPr>
        <w:pStyle w:val="ListParagraph"/>
        <w:numPr>
          <w:ilvl w:val="0"/>
          <w:numId w:val="2"/>
        </w:numPr>
        <w:tabs>
          <w:tab w:val="left" w:pos="360"/>
        </w:tabs>
        <w:ind w:left="709" w:hanging="425"/>
        <w:jc w:val="both"/>
        <w:rPr>
          <w:rFonts w:ascii="Arial" w:hAnsi="Arial" w:cs="Arial"/>
          <w:bCs/>
          <w:sz w:val="18"/>
          <w:szCs w:val="18"/>
        </w:rPr>
      </w:pPr>
      <w:r>
        <w:rPr>
          <w:rFonts w:ascii="Arial" w:hAnsi="Arial" w:cs="Arial"/>
          <w:bCs/>
          <w:sz w:val="18"/>
          <w:szCs w:val="18"/>
        </w:rPr>
        <w:t>Toxoplasma antibody is present in apparently normal subjects in certain populations or geographic groups.  A single test is not diagnostic for an active infection.  Obtain two specimens at an interval of two weeks and test them at the same time to give more meaningful information.</w:t>
      </w:r>
    </w:p>
    <w:p w14:paraId="0621C7F3" w14:textId="77777777" w:rsidR="009B171E" w:rsidRDefault="00000000">
      <w:pPr>
        <w:pStyle w:val="ListParagraph"/>
        <w:numPr>
          <w:ilvl w:val="0"/>
          <w:numId w:val="2"/>
        </w:numPr>
        <w:tabs>
          <w:tab w:val="left" w:pos="360"/>
        </w:tabs>
        <w:ind w:left="709" w:hanging="425"/>
        <w:jc w:val="both"/>
        <w:rPr>
          <w:rFonts w:ascii="Arial" w:hAnsi="Arial" w:cs="Arial"/>
          <w:bCs/>
          <w:sz w:val="18"/>
          <w:szCs w:val="18"/>
        </w:rPr>
      </w:pPr>
      <w:r>
        <w:rPr>
          <w:rFonts w:ascii="Arial" w:hAnsi="Arial" w:cs="Arial"/>
          <w:bCs/>
          <w:sz w:val="18"/>
          <w:szCs w:val="18"/>
        </w:rPr>
        <w:t>As with other serological assays, the results of these assays should be used in conjunction with information available from clinical evaluation and other diagnostic procedures.</w:t>
      </w:r>
    </w:p>
    <w:p w14:paraId="59005D37" w14:textId="77777777" w:rsidR="009B171E" w:rsidRDefault="009B171E">
      <w:pPr>
        <w:tabs>
          <w:tab w:val="left" w:pos="360"/>
        </w:tabs>
        <w:jc w:val="both"/>
        <w:rPr>
          <w:rFonts w:ascii="Arial" w:hAnsi="Arial" w:cs="Arial"/>
          <w:bCs/>
          <w:sz w:val="18"/>
          <w:szCs w:val="18"/>
        </w:rPr>
      </w:pPr>
    </w:p>
    <w:p w14:paraId="7E04D9B3" w14:textId="77777777" w:rsidR="009B171E" w:rsidRDefault="00000000">
      <w:pPr>
        <w:tabs>
          <w:tab w:val="left" w:pos="360"/>
        </w:tabs>
        <w:jc w:val="both"/>
        <w:rPr>
          <w:rFonts w:ascii="Arial" w:hAnsi="Arial" w:cs="Arial"/>
          <w:bCs/>
          <w:sz w:val="18"/>
          <w:szCs w:val="18"/>
        </w:rPr>
      </w:pPr>
      <w:r>
        <w:rPr>
          <w:rFonts w:ascii="Arial" w:hAnsi="Arial" w:cs="Arial"/>
          <w:bCs/>
          <w:sz w:val="18"/>
          <w:szCs w:val="18"/>
        </w:rPr>
        <w:t>BIBLIOGRAPHY</w:t>
      </w:r>
    </w:p>
    <w:p w14:paraId="1B209640" w14:textId="77777777" w:rsidR="009B171E" w:rsidRDefault="00000000">
      <w:pPr>
        <w:pStyle w:val="ListParagraph"/>
        <w:numPr>
          <w:ilvl w:val="0"/>
          <w:numId w:val="3"/>
        </w:numPr>
        <w:tabs>
          <w:tab w:val="left" w:pos="360"/>
        </w:tabs>
        <w:jc w:val="both"/>
        <w:rPr>
          <w:rFonts w:ascii="Arial" w:hAnsi="Arial" w:cs="Arial"/>
          <w:bCs/>
          <w:sz w:val="18"/>
          <w:szCs w:val="18"/>
        </w:rPr>
      </w:pPr>
      <w:proofErr w:type="spellStart"/>
      <w:r>
        <w:rPr>
          <w:rFonts w:ascii="Arial" w:hAnsi="Arial" w:cs="Arial"/>
          <w:bCs/>
          <w:sz w:val="18"/>
          <w:szCs w:val="18"/>
        </w:rPr>
        <w:t>Turune</w:t>
      </w:r>
      <w:proofErr w:type="spellEnd"/>
      <w:r>
        <w:rPr>
          <w:rFonts w:ascii="Arial" w:hAnsi="Arial" w:cs="Arial"/>
          <w:bCs/>
          <w:sz w:val="18"/>
          <w:szCs w:val="18"/>
        </w:rPr>
        <w:t xml:space="preserve">, H.J., P.O. </w:t>
      </w:r>
      <w:proofErr w:type="spellStart"/>
      <w:r>
        <w:rPr>
          <w:rFonts w:ascii="Arial" w:hAnsi="Arial" w:cs="Arial"/>
          <w:bCs/>
          <w:sz w:val="18"/>
          <w:szCs w:val="18"/>
        </w:rPr>
        <w:t>Leinikke</w:t>
      </w:r>
      <w:proofErr w:type="spellEnd"/>
      <w:r>
        <w:rPr>
          <w:rFonts w:ascii="Arial" w:hAnsi="Arial" w:cs="Arial"/>
          <w:bCs/>
          <w:sz w:val="18"/>
          <w:szCs w:val="18"/>
        </w:rPr>
        <w:t xml:space="preserve">, and K. M. Saari.  Demonstration of Intraocular Synthesis of Immunoglobulin G Toxoplasma Antibodies for Specific diagnosis of </w:t>
      </w:r>
      <w:proofErr w:type="spellStart"/>
      <w:r>
        <w:rPr>
          <w:rFonts w:ascii="Arial" w:hAnsi="Arial" w:cs="Arial"/>
          <w:bCs/>
          <w:sz w:val="18"/>
          <w:szCs w:val="18"/>
        </w:rPr>
        <w:t>Toxoplasmic</w:t>
      </w:r>
      <w:proofErr w:type="spellEnd"/>
      <w:r>
        <w:rPr>
          <w:rFonts w:ascii="Arial" w:hAnsi="Arial" w:cs="Arial"/>
          <w:bCs/>
          <w:sz w:val="18"/>
          <w:szCs w:val="18"/>
        </w:rPr>
        <w:t xml:space="preserve"> Chorioretinitis by Enzyme Immunoassay.  J. Clin. </w:t>
      </w:r>
      <w:proofErr w:type="spellStart"/>
      <w:r>
        <w:rPr>
          <w:rFonts w:ascii="Arial" w:hAnsi="Arial" w:cs="Arial"/>
          <w:bCs/>
          <w:sz w:val="18"/>
          <w:szCs w:val="18"/>
        </w:rPr>
        <w:t>Microbiol</w:t>
      </w:r>
      <w:proofErr w:type="spellEnd"/>
      <w:r>
        <w:rPr>
          <w:rFonts w:ascii="Arial" w:hAnsi="Arial" w:cs="Arial"/>
          <w:bCs/>
          <w:sz w:val="18"/>
          <w:szCs w:val="18"/>
        </w:rPr>
        <w:t xml:space="preserve">. 17:988-992, 1983. </w:t>
      </w:r>
    </w:p>
    <w:p w14:paraId="4C30D038" w14:textId="77777777" w:rsidR="009B171E"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Lin, T.M., S.P. Halbert and G.R. O'Connor.  Standardized Quantitative Enzyme-linked Immunoassay for Antibodies to Toxoplasma Gondii.  J. Clin. </w:t>
      </w:r>
      <w:proofErr w:type="spellStart"/>
      <w:r>
        <w:rPr>
          <w:rFonts w:ascii="Arial" w:hAnsi="Arial" w:cs="Arial"/>
          <w:bCs/>
          <w:sz w:val="18"/>
          <w:szCs w:val="18"/>
        </w:rPr>
        <w:t>Microbiol</w:t>
      </w:r>
      <w:proofErr w:type="spellEnd"/>
      <w:r>
        <w:rPr>
          <w:rFonts w:ascii="Arial" w:hAnsi="Arial" w:cs="Arial"/>
          <w:bCs/>
          <w:sz w:val="18"/>
          <w:szCs w:val="18"/>
        </w:rPr>
        <w:t xml:space="preserve">. Vol.11, 6:675-681, 1980. </w:t>
      </w:r>
    </w:p>
    <w:p w14:paraId="07B0CC50" w14:textId="77777777" w:rsidR="009B171E"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Roller, A., A. Bartlett and D.E. Bidwell.  Enzyme Immunoassay with Special Reference ELISA Technique.  J. Clin. Path. 31:507-520, 1987. </w:t>
      </w:r>
    </w:p>
    <w:p w14:paraId="249AD5FB" w14:textId="77777777" w:rsidR="009B171E"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Voller, A., D.E. Bidwell, A. Bartlett, D.G. Flick, M. Perkins and B. </w:t>
      </w:r>
      <w:proofErr w:type="spellStart"/>
      <w:r>
        <w:rPr>
          <w:rFonts w:ascii="Arial" w:hAnsi="Arial" w:cs="Arial"/>
          <w:bCs/>
          <w:sz w:val="18"/>
          <w:szCs w:val="18"/>
        </w:rPr>
        <w:t>Oladshin</w:t>
      </w:r>
      <w:proofErr w:type="spellEnd"/>
      <w:r>
        <w:rPr>
          <w:rFonts w:ascii="Arial" w:hAnsi="Arial" w:cs="Arial"/>
          <w:bCs/>
          <w:sz w:val="18"/>
          <w:szCs w:val="18"/>
        </w:rPr>
        <w:t>.  A Microplate Enzyme-immunoassay for Toxoplasma Antibodies.  J. Clin. Path. 29:150-153, 1976</w:t>
      </w:r>
    </w:p>
    <w:p w14:paraId="630FCB82" w14:textId="77777777" w:rsidR="009B171E" w:rsidRDefault="00000000">
      <w:pPr>
        <w:pStyle w:val="ListParagraph"/>
        <w:numPr>
          <w:ilvl w:val="0"/>
          <w:numId w:val="3"/>
        </w:numPr>
        <w:ind w:left="567" w:hanging="283"/>
        <w:jc w:val="center"/>
        <w:rPr>
          <w:rFonts w:ascii="Arial" w:hAnsi="Arial" w:cs="Arial"/>
          <w:bCs/>
          <w:sz w:val="18"/>
          <w:szCs w:val="18"/>
        </w:rPr>
      </w:pPr>
      <w:r>
        <w:rPr>
          <w:rFonts w:ascii="Arial" w:hAnsi="Arial" w:cs="Arial"/>
          <w:bCs/>
          <w:sz w:val="18"/>
          <w:szCs w:val="18"/>
        </w:rPr>
        <w:t xml:space="preserve"> Data on file: Orchid Biomedical Systems (P) Ltd.</w:t>
      </w:r>
    </w:p>
    <w:p w14:paraId="6FFF2572" w14:textId="77777777" w:rsidR="009B171E" w:rsidRDefault="009B171E">
      <w:pPr>
        <w:tabs>
          <w:tab w:val="left" w:pos="360"/>
        </w:tabs>
        <w:ind w:left="360"/>
        <w:jc w:val="both"/>
        <w:rPr>
          <w:rFonts w:ascii="Arial" w:hAnsi="Arial" w:cs="Arial"/>
          <w:bCs/>
          <w:sz w:val="18"/>
          <w:szCs w:val="18"/>
        </w:rPr>
      </w:pPr>
    </w:p>
    <w:p w14:paraId="2A4C83D8" w14:textId="77777777" w:rsidR="009B171E" w:rsidRDefault="009B171E">
      <w:pPr>
        <w:tabs>
          <w:tab w:val="left" w:pos="360"/>
        </w:tabs>
        <w:jc w:val="center"/>
        <w:rPr>
          <w:rFonts w:ascii="Arial" w:hAnsi="Arial" w:cs="Arial"/>
          <w:bCs/>
          <w:sz w:val="18"/>
          <w:szCs w:val="18"/>
        </w:rPr>
      </w:pPr>
    </w:p>
    <w:p w14:paraId="546AD201" w14:textId="77777777" w:rsidR="009B171E" w:rsidRDefault="00000000">
      <w:pPr>
        <w:tabs>
          <w:tab w:val="left" w:pos="360"/>
        </w:tabs>
        <w:jc w:val="center"/>
      </w:pPr>
      <w:r>
        <w:object w:dxaOrig="3796" w:dyaOrig="3210" w14:anchorId="22F40E4D">
          <v:shape id="_x0000_i1026" type="#_x0000_t75" style="width:189.8pt;height:160.5pt" o:ole="">
            <v:imagedata r:id="rId10" o:title=""/>
          </v:shape>
          <o:OLEObject Type="Embed" ProgID="CorelDraw.Graphic.23" ShapeID="_x0000_i1026" DrawAspect="Content" ObjectID="_1787473722" r:id="rId11"/>
        </w:object>
      </w:r>
    </w:p>
    <w:p w14:paraId="210756B8" w14:textId="77777777" w:rsidR="009B171E" w:rsidRDefault="009B171E">
      <w:pPr>
        <w:tabs>
          <w:tab w:val="left" w:pos="360"/>
        </w:tabs>
        <w:jc w:val="center"/>
      </w:pPr>
    </w:p>
    <w:p w14:paraId="319688F7" w14:textId="77777777" w:rsidR="009B171E" w:rsidRDefault="009B171E">
      <w:pPr>
        <w:tabs>
          <w:tab w:val="left" w:pos="360"/>
        </w:tabs>
        <w:jc w:val="center"/>
      </w:pPr>
    </w:p>
    <w:p w14:paraId="4161EDBC" w14:textId="77777777" w:rsidR="009B171E" w:rsidRDefault="009B171E">
      <w:pPr>
        <w:tabs>
          <w:tab w:val="left" w:pos="360"/>
        </w:tabs>
        <w:jc w:val="center"/>
      </w:pPr>
    </w:p>
    <w:p w14:paraId="64EA2940" w14:textId="77777777" w:rsidR="009B171E" w:rsidRDefault="009B171E">
      <w:pPr>
        <w:tabs>
          <w:tab w:val="left" w:pos="360"/>
        </w:tabs>
        <w:jc w:val="center"/>
      </w:pPr>
    </w:p>
    <w:p w14:paraId="063D61EE" w14:textId="77777777" w:rsidR="009B171E" w:rsidRDefault="009B171E">
      <w:pPr>
        <w:tabs>
          <w:tab w:val="left" w:pos="360"/>
        </w:tabs>
        <w:jc w:val="center"/>
      </w:pPr>
    </w:p>
    <w:p w14:paraId="7BE2AD97" w14:textId="77777777" w:rsidR="009B171E" w:rsidRDefault="009B171E">
      <w:pPr>
        <w:tabs>
          <w:tab w:val="left" w:pos="360"/>
        </w:tabs>
        <w:jc w:val="center"/>
      </w:pPr>
    </w:p>
    <w:p w14:paraId="422A7AA8" w14:textId="77777777" w:rsidR="009B171E" w:rsidRDefault="009B171E">
      <w:pPr>
        <w:tabs>
          <w:tab w:val="left" w:pos="360"/>
        </w:tabs>
        <w:jc w:val="center"/>
      </w:pPr>
    </w:p>
    <w:p w14:paraId="72B06229" w14:textId="77777777" w:rsidR="009B171E" w:rsidRDefault="009B171E">
      <w:pPr>
        <w:tabs>
          <w:tab w:val="left" w:pos="360"/>
        </w:tabs>
        <w:jc w:val="center"/>
      </w:pPr>
    </w:p>
    <w:p w14:paraId="73B2A4A5" w14:textId="77777777" w:rsidR="009B171E" w:rsidRDefault="00000000">
      <w:pPr>
        <w:tabs>
          <w:tab w:val="left" w:pos="360"/>
        </w:tabs>
        <w:jc w:val="both"/>
      </w:pPr>
      <w:r>
        <w:object w:dxaOrig="3842" w:dyaOrig="1110" w14:anchorId="07D55AF2">
          <v:shape id="_x0000_i1027" type="#_x0000_t75" style="width:191.9pt;height:55.5pt" o:ole="">
            <v:imagedata r:id="rId12" o:title=""/>
          </v:shape>
          <o:OLEObject Type="Embed" ProgID="CorelDraw.Graphic.23" ShapeID="_x0000_i1027" DrawAspect="Content" ObjectID="_1787473723" r:id="rId13"/>
        </w:object>
      </w:r>
    </w:p>
    <w:p w14:paraId="2763418F" w14:textId="77777777" w:rsidR="009B171E" w:rsidRDefault="009B171E">
      <w:pPr>
        <w:tabs>
          <w:tab w:val="left" w:pos="360"/>
        </w:tabs>
        <w:jc w:val="center"/>
        <w:rPr>
          <w:rFonts w:ascii="Arial" w:hAnsi="Arial" w:cs="Arial"/>
          <w:i/>
          <w:sz w:val="14"/>
          <w:szCs w:val="18"/>
        </w:rPr>
      </w:pPr>
    </w:p>
    <w:sectPr w:rsidR="009B171E">
      <w:headerReference w:type="even" r:id="rId14"/>
      <w:headerReference w:type="default" r:id="rId15"/>
      <w:footerReference w:type="even" r:id="rId16"/>
      <w:footerReference w:type="default" r:id="rId17"/>
      <w:headerReference w:type="first" r:id="rId18"/>
      <w:footerReference w:type="first" r:id="rId19"/>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93D501" w14:textId="77777777" w:rsidR="00413B98" w:rsidRDefault="00413B98">
      <w:r>
        <w:separator/>
      </w:r>
    </w:p>
  </w:endnote>
  <w:endnote w:type="continuationSeparator" w:id="0">
    <w:p w14:paraId="6ADFED1B" w14:textId="77777777" w:rsidR="00413B98" w:rsidRDefault="00413B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Bookman Old Style">
    <w:altName w:val="Segoe Print"/>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84BDED" w14:textId="77777777" w:rsidR="009B171E" w:rsidRDefault="009B17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F0BDCA" w14:textId="77777777" w:rsidR="009B171E" w:rsidRDefault="00000000">
    <w:pPr>
      <w:pStyle w:val="Footer"/>
      <w:jc w:val="center"/>
    </w:pPr>
    <w:r>
      <w:t xml:space="preserve">Page </w:t>
    </w:r>
    <w:r>
      <w:fldChar w:fldCharType="begin"/>
    </w:r>
    <w:r>
      <w:instrText>PAGE</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88F65A" w14:textId="77777777" w:rsidR="009B171E" w:rsidRDefault="009B17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27E653" w14:textId="77777777" w:rsidR="00413B98" w:rsidRDefault="00413B98">
      <w:r>
        <w:separator/>
      </w:r>
    </w:p>
  </w:footnote>
  <w:footnote w:type="continuationSeparator" w:id="0">
    <w:p w14:paraId="305131D3" w14:textId="77777777" w:rsidR="00413B98" w:rsidRDefault="00413B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FBC2D3" w14:textId="77777777" w:rsidR="009B171E" w:rsidRDefault="009B17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E08CC6" w14:textId="77777777" w:rsidR="009B171E" w:rsidRDefault="009B171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019142" w14:textId="77777777" w:rsidR="009B171E" w:rsidRDefault="009B17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10403E"/>
    <w:multiLevelType w:val="multilevel"/>
    <w:tmpl w:val="2F10403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B224FED"/>
    <w:multiLevelType w:val="multilevel"/>
    <w:tmpl w:val="3B224FED"/>
    <w:lvl w:ilvl="0">
      <w:start w:val="1"/>
      <w:numFmt w:val="decimal"/>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04360C4"/>
    <w:multiLevelType w:val="multilevel"/>
    <w:tmpl w:val="504360C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1290352899">
    <w:abstractNumId w:val="1"/>
  </w:num>
  <w:num w:numId="2" w16cid:durableId="1830057969">
    <w:abstractNumId w:val="2"/>
  </w:num>
  <w:num w:numId="3" w16cid:durableId="4778398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8"/>
  <w:hideSpellingErrors/>
  <w:hideGrammaticalErrors/>
  <w:proofState w:spelling="clean" w:grammar="clean"/>
  <w:defaultTabStop w:val="720"/>
  <w:doNotHyphenateCaps/>
  <w:displayHorizontalDrawingGridEvery w:val="0"/>
  <w:displayVerticalDrawingGridEvery w:val="0"/>
  <w:doNotUseMarginsForDrawingGridOrigin/>
  <w:drawingGridHorizontalOrigin w:val="1800"/>
  <w:drawingGridVerticalOrigin w:val="1440"/>
  <w:doNotShadeFormData/>
  <w:noPunctuationKerning/>
  <w:characterSpacingControl w:val="doNotCompress"/>
  <w:savePreviewPicture/>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3C8"/>
    <w:rsid w:val="00065081"/>
    <w:rsid w:val="00077FA7"/>
    <w:rsid w:val="000B0CEA"/>
    <w:rsid w:val="000E17FF"/>
    <w:rsid w:val="000F2C37"/>
    <w:rsid w:val="001214F1"/>
    <w:rsid w:val="00131B4D"/>
    <w:rsid w:val="00152295"/>
    <w:rsid w:val="00170243"/>
    <w:rsid w:val="00171DEA"/>
    <w:rsid w:val="001A2E93"/>
    <w:rsid w:val="001B50AD"/>
    <w:rsid w:val="001C1818"/>
    <w:rsid w:val="001C1DF0"/>
    <w:rsid w:val="001C2CA2"/>
    <w:rsid w:val="001D0CB0"/>
    <w:rsid w:val="001D687F"/>
    <w:rsid w:val="001F1DD0"/>
    <w:rsid w:val="001F2373"/>
    <w:rsid w:val="001F2F45"/>
    <w:rsid w:val="001F344E"/>
    <w:rsid w:val="001F5730"/>
    <w:rsid w:val="001F7924"/>
    <w:rsid w:val="00203F09"/>
    <w:rsid w:val="002329EF"/>
    <w:rsid w:val="002412B6"/>
    <w:rsid w:val="002A021A"/>
    <w:rsid w:val="002D1DE3"/>
    <w:rsid w:val="002E491C"/>
    <w:rsid w:val="0030216B"/>
    <w:rsid w:val="003447F8"/>
    <w:rsid w:val="00367BE0"/>
    <w:rsid w:val="003C2AD4"/>
    <w:rsid w:val="003C6025"/>
    <w:rsid w:val="003F4C3F"/>
    <w:rsid w:val="00413B98"/>
    <w:rsid w:val="00415F51"/>
    <w:rsid w:val="00416E6E"/>
    <w:rsid w:val="00445048"/>
    <w:rsid w:val="004569D5"/>
    <w:rsid w:val="00475744"/>
    <w:rsid w:val="00490520"/>
    <w:rsid w:val="004A017D"/>
    <w:rsid w:val="004A749E"/>
    <w:rsid w:val="00534C50"/>
    <w:rsid w:val="005412B0"/>
    <w:rsid w:val="00580FE2"/>
    <w:rsid w:val="005967F3"/>
    <w:rsid w:val="005B47DA"/>
    <w:rsid w:val="005C18A2"/>
    <w:rsid w:val="005C438D"/>
    <w:rsid w:val="005D14FD"/>
    <w:rsid w:val="00690FA0"/>
    <w:rsid w:val="00691AF2"/>
    <w:rsid w:val="0069319B"/>
    <w:rsid w:val="00693A7F"/>
    <w:rsid w:val="006B68A2"/>
    <w:rsid w:val="006C1D4D"/>
    <w:rsid w:val="006E51E2"/>
    <w:rsid w:val="006F1917"/>
    <w:rsid w:val="007417BA"/>
    <w:rsid w:val="00763725"/>
    <w:rsid w:val="007709B4"/>
    <w:rsid w:val="007743C8"/>
    <w:rsid w:val="00780A13"/>
    <w:rsid w:val="007846E1"/>
    <w:rsid w:val="00791CE1"/>
    <w:rsid w:val="0080477D"/>
    <w:rsid w:val="008060B9"/>
    <w:rsid w:val="00807308"/>
    <w:rsid w:val="008131CD"/>
    <w:rsid w:val="00855C16"/>
    <w:rsid w:val="0086479E"/>
    <w:rsid w:val="00880D76"/>
    <w:rsid w:val="008E507D"/>
    <w:rsid w:val="00922C13"/>
    <w:rsid w:val="009271F7"/>
    <w:rsid w:val="0093184E"/>
    <w:rsid w:val="00991FA3"/>
    <w:rsid w:val="00993132"/>
    <w:rsid w:val="00994741"/>
    <w:rsid w:val="00997C8D"/>
    <w:rsid w:val="009A35AC"/>
    <w:rsid w:val="009B171E"/>
    <w:rsid w:val="00A175D1"/>
    <w:rsid w:val="00A339AD"/>
    <w:rsid w:val="00A74AA9"/>
    <w:rsid w:val="00AC16E8"/>
    <w:rsid w:val="00AE7ED6"/>
    <w:rsid w:val="00AF6A29"/>
    <w:rsid w:val="00B141ED"/>
    <w:rsid w:val="00B32C02"/>
    <w:rsid w:val="00B36D5F"/>
    <w:rsid w:val="00BE3603"/>
    <w:rsid w:val="00BE437E"/>
    <w:rsid w:val="00BE6234"/>
    <w:rsid w:val="00C37A29"/>
    <w:rsid w:val="00C4489E"/>
    <w:rsid w:val="00C62BF6"/>
    <w:rsid w:val="00C765E7"/>
    <w:rsid w:val="00C80C1E"/>
    <w:rsid w:val="00CA5160"/>
    <w:rsid w:val="00CA674C"/>
    <w:rsid w:val="00CB7351"/>
    <w:rsid w:val="00CC1C17"/>
    <w:rsid w:val="00CE33A1"/>
    <w:rsid w:val="00CF4C14"/>
    <w:rsid w:val="00D51574"/>
    <w:rsid w:val="00D612B3"/>
    <w:rsid w:val="00D72C8C"/>
    <w:rsid w:val="00D740F5"/>
    <w:rsid w:val="00D86CBB"/>
    <w:rsid w:val="00DA500C"/>
    <w:rsid w:val="00E004E2"/>
    <w:rsid w:val="00E05601"/>
    <w:rsid w:val="00E25627"/>
    <w:rsid w:val="00E2719F"/>
    <w:rsid w:val="00E67E07"/>
    <w:rsid w:val="00E73CF2"/>
    <w:rsid w:val="00E82464"/>
    <w:rsid w:val="00EB4AFD"/>
    <w:rsid w:val="00EB550C"/>
    <w:rsid w:val="00EE0E53"/>
    <w:rsid w:val="00F00A6A"/>
    <w:rsid w:val="00F012BA"/>
    <w:rsid w:val="00F109BB"/>
    <w:rsid w:val="00F15018"/>
    <w:rsid w:val="00F74F7B"/>
    <w:rsid w:val="00F818A7"/>
    <w:rsid w:val="00F92675"/>
    <w:rsid w:val="00FC3676"/>
    <w:rsid w:val="00FD3AA9"/>
    <w:rsid w:val="0724500B"/>
    <w:rsid w:val="3EE9330E"/>
    <w:rsid w:val="4DBE71E6"/>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83933F3"/>
  <w15:docId w15:val="{620852AB-05C3-436E-9F44-A59042857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qFormat="1"/>
    <w:lsdException w:name="footer" w:semiHidden="1"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qFormat/>
    <w:rPr>
      <w:rFonts w:ascii="Tahoma" w:hAnsi="Tahoma" w:cs="Tahoma"/>
      <w:sz w:val="16"/>
      <w:szCs w:val="16"/>
    </w:rPr>
  </w:style>
  <w:style w:type="paragraph" w:styleId="BodyText">
    <w:name w:val="Body Text"/>
    <w:basedOn w:val="Normal"/>
    <w:semiHidden/>
    <w:qFormat/>
    <w:pPr>
      <w:jc w:val="center"/>
    </w:pPr>
    <w:rPr>
      <w:b/>
    </w:rPr>
  </w:style>
  <w:style w:type="paragraph" w:styleId="BodyText3">
    <w:name w:val="Body Text 3"/>
    <w:basedOn w:val="Normal"/>
    <w:link w:val="BodyText3Char"/>
    <w:uiPriority w:val="99"/>
    <w:unhideWhenUsed/>
    <w:qFormat/>
    <w:pPr>
      <w:spacing w:after="120"/>
    </w:pPr>
    <w:rPr>
      <w:sz w:val="16"/>
      <w:szCs w:val="16"/>
      <w:lang w:val="zh-CN"/>
    </w:rPr>
  </w:style>
  <w:style w:type="paragraph" w:styleId="Footer">
    <w:name w:val="footer"/>
    <w:basedOn w:val="Normal"/>
    <w:semiHidden/>
    <w:qFormat/>
    <w:pPr>
      <w:tabs>
        <w:tab w:val="center" w:pos="4320"/>
        <w:tab w:val="right" w:pos="8640"/>
      </w:tabs>
    </w:pPr>
  </w:style>
  <w:style w:type="paragraph" w:styleId="Header">
    <w:name w:val="header"/>
    <w:basedOn w:val="Normal"/>
    <w:semiHidden/>
    <w:qFormat/>
    <w:pPr>
      <w:tabs>
        <w:tab w:val="center" w:pos="4320"/>
        <w:tab w:val="right" w:pos="8640"/>
      </w:tabs>
    </w:p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Char">
    <w:name w:val="Body Text 3 Char"/>
    <w:link w:val="BodyText3"/>
    <w:uiPriority w:val="99"/>
    <w:qFormat/>
    <w:rPr>
      <w:sz w:val="16"/>
      <w:szCs w:val="16"/>
      <w:lang w:eastAsia="en-US"/>
    </w:rPr>
  </w:style>
  <w:style w:type="paragraph" w:styleId="ListParagraph">
    <w:name w:val="List Paragraph"/>
    <w:basedOn w:val="Normal"/>
    <w:uiPriority w:val="34"/>
    <w:qFormat/>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emf"/><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1747</Words>
  <Characters>9964</Characters>
  <Application>Microsoft Office Word</Application>
  <DocSecurity>0</DocSecurity>
  <Lines>83</Lines>
  <Paragraphs>23</Paragraphs>
  <ScaleCrop>false</ScaleCrop>
  <Company>E&amp;E Labs, Inc.</Company>
  <LinksUpToDate>false</LinksUpToDate>
  <CharactersWithSpaces>11688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creator>SHAO FANG YOU</dc:creator>
  <cp:lastModifiedBy>Prathiba Adappa</cp:lastModifiedBy>
  <cp:revision>21</cp:revision>
  <cp:lastPrinted>2008-08-26T11:33:00Z</cp:lastPrinted>
  <dcterms:created xsi:type="dcterms:W3CDTF">2024-08-01T07:51:00Z</dcterms:created>
  <dcterms:modified xsi:type="dcterms:W3CDTF">2024-09-10T06:12:00Z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9DD4EC27C24843C68AC3A7F7C30F1518_12</vt:lpwstr>
  </property>
</Properties>
</file>