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AC370" w14:textId="77777777" w:rsidR="00502F3A"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401508EE" wp14:editId="02047A3E">
                <wp:simplePos x="0" y="0"/>
                <wp:positionH relativeFrom="column">
                  <wp:posOffset>95250</wp:posOffset>
                </wp:positionH>
                <wp:positionV relativeFrom="paragraph">
                  <wp:posOffset>3810</wp:posOffset>
                </wp:positionV>
                <wp:extent cx="2849245" cy="1061085"/>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9245" cy="1061085"/>
                        </a:xfrm>
                        <a:prstGeom prst="rect">
                          <a:avLst/>
                        </a:prstGeom>
                        <a:noFill/>
                        <a:ln>
                          <a:noFill/>
                        </a:ln>
                        <a:effectLst/>
                      </wps:spPr>
                      <wps:txbx>
                        <w:txbxContent>
                          <w:p w14:paraId="22BE0425" w14:textId="77777777" w:rsidR="00502F3A" w:rsidRDefault="00000000">
                            <w:pPr>
                              <w:jc w:val="center"/>
                              <w:rPr>
                                <w:rFonts w:ascii="Bookman Old Style" w:hAnsi="Bookman Old Style"/>
                                <w:b/>
                                <w:sz w:val="24"/>
                              </w:rPr>
                            </w:pPr>
                            <w:r>
                              <w:rPr>
                                <w:rFonts w:ascii="Bookman Old Style" w:hAnsi="Bookman Old Style"/>
                                <w:b/>
                                <w:sz w:val="24"/>
                              </w:rPr>
                              <w:t>Beta-Human Chorionic Gonadotropin (β-</w:t>
                            </w:r>
                            <w:proofErr w:type="spellStart"/>
                            <w:r>
                              <w:rPr>
                                <w:rFonts w:ascii="Bookman Old Style" w:hAnsi="Bookman Old Style"/>
                                <w:b/>
                                <w:sz w:val="24"/>
                              </w:rPr>
                              <w:t>hCG</w:t>
                            </w:r>
                            <w:proofErr w:type="spellEnd"/>
                            <w:r>
                              <w:rPr>
                                <w:rFonts w:ascii="Bookman Old Style" w:hAnsi="Bookman Old Style"/>
                                <w:b/>
                                <w:sz w:val="24"/>
                              </w:rPr>
                              <w:t xml:space="preserve">) </w:t>
                            </w:r>
                          </w:p>
                          <w:p w14:paraId="6EB1B90F" w14:textId="77777777" w:rsidR="00502F3A" w:rsidRDefault="00000000">
                            <w:pPr>
                              <w:jc w:val="center"/>
                              <w:rPr>
                                <w:rFonts w:ascii="Bookman Old Style" w:hAnsi="Bookman Old Style"/>
                                <w:b/>
                                <w:sz w:val="24"/>
                              </w:rPr>
                            </w:pPr>
                            <w:r>
                              <w:rPr>
                                <w:rFonts w:ascii="Bookman Old Style" w:hAnsi="Bookman Old Style"/>
                                <w:b/>
                                <w:sz w:val="24"/>
                              </w:rPr>
                              <w:t xml:space="preserve">ENZYME IMMUNOASSAY </w:t>
                            </w:r>
                          </w:p>
                          <w:p w14:paraId="33156870" w14:textId="77777777" w:rsidR="00502F3A" w:rsidRDefault="00000000">
                            <w:pPr>
                              <w:jc w:val="center"/>
                              <w:rPr>
                                <w:rFonts w:ascii="Bookman Old Style" w:hAnsi="Bookman Old Style"/>
                                <w:b/>
                                <w:sz w:val="24"/>
                              </w:rPr>
                            </w:pPr>
                            <w:r>
                              <w:rPr>
                                <w:rFonts w:ascii="Bookman Old Style" w:hAnsi="Bookman Old Style"/>
                                <w:b/>
                                <w:sz w:val="24"/>
                              </w:rPr>
                              <w:t>TEST KIT</w:t>
                            </w:r>
                          </w:p>
                          <w:p w14:paraId="5754716B" w14:textId="77777777" w:rsidR="00502F3A" w:rsidRDefault="00502F3A">
                            <w:pPr>
                              <w:jc w:val="center"/>
                              <w:rPr>
                                <w:b/>
                                <w:sz w:val="28"/>
                              </w:rPr>
                            </w:pPr>
                          </w:p>
                        </w:txbxContent>
                      </wps:txbx>
                      <wps:bodyPr rot="0" vert="horz" wrap="square" lIns="12700" tIns="12700" rIns="12700" bIns="12700" anchor="t" anchorCtr="0" upright="1">
                        <a:noAutofit/>
                      </wps:bodyPr>
                    </wps:wsp>
                  </a:graphicData>
                </a:graphic>
              </wp:anchor>
            </w:drawing>
          </mc:Choice>
          <mc:Fallback xmlns:wpsCustomData="http://www.wps.cn/officeDocument/2013/wpsCustomData">
            <w:pict>
              <v:rect id="Rectangle 2" o:spid="_x0000_s1026" o:spt="1" style="position:absolute;left:0pt;margin-left:7.5pt;margin-top:0.3pt;height:83.55pt;width:224.35pt;z-index:251659264;mso-width-relative:page;mso-height-relative:page;" filled="f" stroked="f" coordsize="21600,21600" o:allowincell="f" o:gfxdata="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3Q5kdUAAAAHAQAADwAAAAAAAAABACAAAAAiAAAA&#10;ZHJzL2Rvd25yZXYueG1sUEsBAhQAFAAAAAgAh07iQLO/J/IKAgAAIwQAAA4AAAAAAAAAAQAgAAAA&#10;JAEAAGRycy9lMm9Eb2MueG1sUEsFBgAAAAAGAAYAWQEAAKAFAAAAAA==&#10;">
                <v:fill on="f" focussize="0,0"/>
                <v:stroke on="f"/>
                <v:imagedata o:title=""/>
                <o:lock v:ext="edit" aspectratio="f"/>
                <v:textbox inset="1pt,1pt,1pt,1pt">
                  <w:txbxContent>
                    <w:p w14:paraId="3841362E">
                      <w:pPr>
                        <w:jc w:val="center"/>
                        <w:rPr>
                          <w:rFonts w:ascii="Bookman Old Style" w:hAnsi="Bookman Old Style"/>
                          <w:b/>
                          <w:sz w:val="24"/>
                        </w:rPr>
                      </w:pPr>
                      <w:r>
                        <w:rPr>
                          <w:rFonts w:ascii="Bookman Old Style" w:hAnsi="Bookman Old Style"/>
                          <w:b/>
                          <w:sz w:val="24"/>
                        </w:rPr>
                        <w:t xml:space="preserve">Beta-Human Chorionic Gonadotropin (β-hCG) </w:t>
                      </w:r>
                    </w:p>
                    <w:p w14:paraId="52E12930">
                      <w:pPr>
                        <w:jc w:val="center"/>
                        <w:rPr>
                          <w:rFonts w:ascii="Bookman Old Style" w:hAnsi="Bookman Old Style"/>
                          <w:b/>
                          <w:sz w:val="24"/>
                        </w:rPr>
                      </w:pPr>
                      <w:r>
                        <w:rPr>
                          <w:rFonts w:ascii="Bookman Old Style" w:hAnsi="Bookman Old Style"/>
                          <w:b/>
                          <w:sz w:val="24"/>
                        </w:rPr>
                        <w:t xml:space="preserve">ENZYME IMMUNOASSAY </w:t>
                      </w:r>
                    </w:p>
                    <w:p w14:paraId="22F5F1ED">
                      <w:pPr>
                        <w:jc w:val="center"/>
                        <w:rPr>
                          <w:rFonts w:ascii="Bookman Old Style" w:hAnsi="Bookman Old Style"/>
                          <w:b/>
                          <w:sz w:val="24"/>
                        </w:rPr>
                      </w:pPr>
                      <w:r>
                        <w:rPr>
                          <w:rFonts w:ascii="Bookman Old Style" w:hAnsi="Bookman Old Style"/>
                          <w:b/>
                          <w:sz w:val="24"/>
                        </w:rPr>
                        <w:t>TEST KIT</w:t>
                      </w:r>
                    </w:p>
                    <w:p w14:paraId="504EE29E">
                      <w:pPr>
                        <w:jc w:val="center"/>
                        <w:rPr>
                          <w:b/>
                          <w:sz w:val="28"/>
                        </w:rPr>
                      </w:pPr>
                    </w:p>
                  </w:txbxContent>
                </v:textbox>
              </v:rect>
            </w:pict>
          </mc:Fallback>
        </mc:AlternateContent>
      </w:r>
    </w:p>
    <w:p w14:paraId="3AF8819F" w14:textId="77777777" w:rsidR="00502F3A" w:rsidRDefault="00502F3A">
      <w:pPr>
        <w:rPr>
          <w:sz w:val="24"/>
        </w:rPr>
      </w:pPr>
    </w:p>
    <w:p w14:paraId="6A9173BF" w14:textId="77777777" w:rsidR="00502F3A" w:rsidRDefault="00502F3A">
      <w:pPr>
        <w:rPr>
          <w:sz w:val="24"/>
        </w:rPr>
      </w:pPr>
    </w:p>
    <w:p w14:paraId="69124F0F" w14:textId="77777777" w:rsidR="00502F3A" w:rsidRDefault="00502F3A">
      <w:pPr>
        <w:tabs>
          <w:tab w:val="left" w:pos="360"/>
        </w:tabs>
        <w:jc w:val="center"/>
        <w:rPr>
          <w:rFonts w:ascii="Arial" w:hAnsi="Arial" w:cs="Arial"/>
          <w:b/>
        </w:rPr>
      </w:pPr>
    </w:p>
    <w:p w14:paraId="7E6FE922" w14:textId="77777777" w:rsidR="00502F3A" w:rsidRDefault="00502F3A">
      <w:pPr>
        <w:tabs>
          <w:tab w:val="left" w:pos="360"/>
        </w:tabs>
        <w:jc w:val="center"/>
        <w:rPr>
          <w:rFonts w:ascii="Arial" w:hAnsi="Arial" w:cs="Arial"/>
          <w:b/>
        </w:rPr>
      </w:pPr>
    </w:p>
    <w:p w14:paraId="264FB2C4" w14:textId="77777777" w:rsidR="00502F3A" w:rsidRDefault="00502F3A">
      <w:pPr>
        <w:tabs>
          <w:tab w:val="left" w:pos="360"/>
        </w:tabs>
        <w:jc w:val="center"/>
        <w:rPr>
          <w:rFonts w:ascii="Arial" w:hAnsi="Arial" w:cs="Arial"/>
          <w:b/>
        </w:rPr>
      </w:pPr>
    </w:p>
    <w:p w14:paraId="5A89D4F4" w14:textId="77777777" w:rsidR="00502F3A" w:rsidRDefault="00502F3A">
      <w:pPr>
        <w:tabs>
          <w:tab w:val="left" w:pos="360"/>
        </w:tabs>
        <w:jc w:val="center"/>
        <w:rPr>
          <w:rFonts w:ascii="Arial" w:hAnsi="Arial" w:cs="Arial"/>
          <w:b/>
        </w:rPr>
      </w:pPr>
    </w:p>
    <w:p w14:paraId="74BB86FA" w14:textId="77777777" w:rsidR="00502F3A" w:rsidRDefault="00000000">
      <w:pPr>
        <w:tabs>
          <w:tab w:val="left" w:pos="360"/>
        </w:tabs>
        <w:jc w:val="center"/>
        <w:rPr>
          <w:rFonts w:ascii="Arial" w:hAnsi="Arial" w:cs="Arial"/>
          <w:b/>
        </w:rPr>
      </w:pPr>
      <w:r>
        <w:rPr>
          <w:rFonts w:ascii="Arial" w:hAnsi="Arial" w:cs="Arial"/>
          <w:b/>
        </w:rPr>
        <w:t>Enzyme Linked Immunosorbent Assay (ELISA) for Quantitative Determination of Beta- Human Chorionic Gonadotropin (β-</w:t>
      </w:r>
      <w:proofErr w:type="spellStart"/>
      <w:r>
        <w:rPr>
          <w:rFonts w:ascii="Arial" w:hAnsi="Arial" w:cs="Arial"/>
          <w:b/>
        </w:rPr>
        <w:t>hCG</w:t>
      </w:r>
      <w:proofErr w:type="spellEnd"/>
      <w:r>
        <w:rPr>
          <w:rFonts w:ascii="Arial" w:hAnsi="Arial" w:cs="Arial"/>
          <w:b/>
        </w:rPr>
        <w:t>) in Human Serum</w:t>
      </w:r>
    </w:p>
    <w:p w14:paraId="59362C11" w14:textId="77777777" w:rsidR="00502F3A" w:rsidRDefault="00502F3A">
      <w:pPr>
        <w:tabs>
          <w:tab w:val="left" w:pos="360"/>
        </w:tabs>
        <w:jc w:val="center"/>
        <w:rPr>
          <w:rFonts w:ascii="Arial" w:hAnsi="Arial" w:cs="Arial"/>
          <w:b/>
        </w:rPr>
      </w:pPr>
    </w:p>
    <w:p w14:paraId="0E455CC6" w14:textId="77777777" w:rsidR="00502F3A" w:rsidRDefault="00000000">
      <w:pPr>
        <w:tabs>
          <w:tab w:val="left" w:pos="360"/>
        </w:tabs>
        <w:jc w:val="center"/>
        <w:rPr>
          <w:rFonts w:ascii="Arial" w:hAnsi="Arial" w:cs="Arial"/>
          <w:b/>
        </w:rPr>
      </w:pPr>
      <w:r>
        <w:rPr>
          <w:rFonts w:ascii="Arial" w:hAnsi="Arial" w:cs="Arial"/>
          <w:b/>
        </w:rPr>
        <w:t>FOR IN VITRO DIAGNOSTIC USE ONLY</w:t>
      </w:r>
    </w:p>
    <w:p w14:paraId="1604CE2E" w14:textId="77777777" w:rsidR="00502F3A" w:rsidRDefault="00000000">
      <w:pPr>
        <w:tabs>
          <w:tab w:val="left" w:pos="360"/>
        </w:tabs>
        <w:jc w:val="center"/>
        <w:rPr>
          <w:rFonts w:ascii="Arial" w:hAnsi="Arial" w:cs="Arial"/>
          <w:b/>
        </w:rPr>
      </w:pPr>
      <w:r>
        <w:rPr>
          <w:rFonts w:ascii="Arial" w:hAnsi="Arial" w:cs="Arial"/>
          <w:b/>
        </w:rPr>
        <w:t>Store at 2°C to 8°C</w:t>
      </w:r>
    </w:p>
    <w:p w14:paraId="516681AB" w14:textId="77777777" w:rsidR="00502F3A" w:rsidRDefault="00502F3A">
      <w:pPr>
        <w:tabs>
          <w:tab w:val="left" w:pos="360"/>
        </w:tabs>
        <w:rPr>
          <w:rFonts w:ascii="Arial" w:hAnsi="Arial" w:cs="Arial"/>
          <w:b/>
          <w:sz w:val="18"/>
          <w:szCs w:val="18"/>
        </w:rPr>
      </w:pPr>
    </w:p>
    <w:p w14:paraId="6489577C" w14:textId="77777777" w:rsidR="00502F3A" w:rsidRDefault="00502F3A">
      <w:pPr>
        <w:tabs>
          <w:tab w:val="left" w:pos="360"/>
        </w:tabs>
        <w:jc w:val="both"/>
        <w:rPr>
          <w:rFonts w:ascii="Arial" w:hAnsi="Arial" w:cs="Arial"/>
          <w:bCs/>
          <w:sz w:val="18"/>
          <w:szCs w:val="18"/>
        </w:rPr>
      </w:pPr>
    </w:p>
    <w:p w14:paraId="03EE0C23"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INTENDED USE</w:t>
      </w:r>
    </w:p>
    <w:p w14:paraId="5E545741"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Sandwich ELISA test for the quantitative determination of Beta</w:t>
      </w:r>
      <w:r>
        <w:rPr>
          <w:rFonts w:ascii="Arial" w:hAnsi="Arial" w:cs="Arial"/>
          <w:bCs/>
          <w:sz w:val="18"/>
          <w:szCs w:val="18"/>
          <w:lang w:val="en-GB"/>
        </w:rPr>
        <w:t>-</w:t>
      </w:r>
      <w:r>
        <w:rPr>
          <w:rFonts w:ascii="Arial" w:hAnsi="Arial" w:cs="Arial"/>
          <w:bCs/>
          <w:sz w:val="18"/>
          <w:szCs w:val="18"/>
        </w:rPr>
        <w:t xml:space="preserve">Human Chorionic </w:t>
      </w:r>
      <w:proofErr w:type="gramStart"/>
      <w:r>
        <w:rPr>
          <w:rFonts w:ascii="Arial" w:hAnsi="Arial" w:cs="Arial"/>
          <w:bCs/>
          <w:sz w:val="18"/>
          <w:szCs w:val="18"/>
        </w:rPr>
        <w:t xml:space="preserve">Gonadotropin </w:t>
      </w:r>
      <w:r>
        <w:rPr>
          <w:rFonts w:ascii="Arial" w:hAnsi="Arial" w:cs="Arial"/>
          <w:bCs/>
          <w:sz w:val="18"/>
          <w:szCs w:val="18"/>
          <w:lang w:val="en-GB"/>
        </w:rPr>
        <w:t xml:space="preserve"> </w:t>
      </w:r>
      <w:r>
        <w:rPr>
          <w:rFonts w:ascii="Arial" w:hAnsi="Arial" w:cs="Arial"/>
          <w:bCs/>
          <w:sz w:val="18"/>
          <w:szCs w:val="18"/>
        </w:rPr>
        <w:t>(</w:t>
      </w:r>
      <w:proofErr w:type="gramEnd"/>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in human serum. </w:t>
      </w:r>
    </w:p>
    <w:p w14:paraId="64A44FD3" w14:textId="77777777" w:rsidR="00502F3A" w:rsidRDefault="00502F3A">
      <w:pPr>
        <w:tabs>
          <w:tab w:val="left" w:pos="360"/>
        </w:tabs>
        <w:ind w:left="349"/>
        <w:jc w:val="both"/>
        <w:rPr>
          <w:rFonts w:ascii="Arial" w:hAnsi="Arial" w:cs="Arial"/>
          <w:bCs/>
          <w:sz w:val="18"/>
          <w:szCs w:val="18"/>
        </w:rPr>
      </w:pPr>
    </w:p>
    <w:p w14:paraId="0E972B1F"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INTRODUCTION</w:t>
      </w:r>
    </w:p>
    <w:p w14:paraId="585DF317"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Human chorionic gonadotropin (</w:t>
      </w:r>
      <w:proofErr w:type="spellStart"/>
      <w:r>
        <w:rPr>
          <w:rFonts w:ascii="Arial" w:hAnsi="Arial" w:cs="Arial"/>
          <w:bCs/>
          <w:sz w:val="18"/>
          <w:szCs w:val="18"/>
        </w:rPr>
        <w:t>hCG</w:t>
      </w:r>
      <w:proofErr w:type="spellEnd"/>
      <w:r>
        <w:rPr>
          <w:rFonts w:ascii="Arial" w:hAnsi="Arial" w:cs="Arial"/>
          <w:bCs/>
          <w:sz w:val="18"/>
          <w:szCs w:val="18"/>
        </w:rPr>
        <w:t xml:space="preserve">) is a </w:t>
      </w:r>
      <w:proofErr w:type="spellStart"/>
      <w:r>
        <w:rPr>
          <w:rFonts w:ascii="Arial" w:hAnsi="Arial" w:cs="Arial"/>
          <w:bCs/>
          <w:sz w:val="18"/>
          <w:szCs w:val="18"/>
        </w:rPr>
        <w:t>sialoglycoprotein</w:t>
      </w:r>
      <w:proofErr w:type="spellEnd"/>
      <w:r>
        <w:rPr>
          <w:rFonts w:ascii="Arial" w:hAnsi="Arial" w:cs="Arial"/>
          <w:bCs/>
          <w:sz w:val="18"/>
          <w:szCs w:val="18"/>
        </w:rPr>
        <w:t xml:space="preserve">. HCG is initially secreted by the trophoblastic cells of the placenta shortly after implantation of the fertilized ovum into the uterine wall. The rapid rise in </w:t>
      </w:r>
      <w:proofErr w:type="spellStart"/>
      <w:r>
        <w:rPr>
          <w:rFonts w:ascii="Arial" w:hAnsi="Arial" w:cs="Arial"/>
          <w:bCs/>
          <w:sz w:val="18"/>
          <w:szCs w:val="18"/>
        </w:rPr>
        <w:t>hCG</w:t>
      </w:r>
      <w:proofErr w:type="spellEnd"/>
      <w:r>
        <w:rPr>
          <w:rFonts w:ascii="Arial" w:hAnsi="Arial" w:cs="Arial"/>
          <w:bCs/>
          <w:sz w:val="18"/>
          <w:szCs w:val="18"/>
        </w:rPr>
        <w:t xml:space="preserve"> serum levels after conception makes it an excellent marker for early confirmation and monitoring of pregnancy. Physiologically, </w:t>
      </w:r>
      <w:proofErr w:type="spellStart"/>
      <w:r>
        <w:rPr>
          <w:rFonts w:ascii="Arial" w:hAnsi="Arial" w:cs="Arial"/>
          <w:bCs/>
          <w:sz w:val="18"/>
          <w:szCs w:val="18"/>
        </w:rPr>
        <w:t>hCG</w:t>
      </w:r>
      <w:proofErr w:type="spellEnd"/>
      <w:r>
        <w:rPr>
          <w:rFonts w:ascii="Arial" w:hAnsi="Arial" w:cs="Arial"/>
          <w:bCs/>
          <w:sz w:val="18"/>
          <w:szCs w:val="18"/>
        </w:rPr>
        <w:t xml:space="preserve"> appears to maintain the corpus luteum, thereby allowing synthesis of progesterone and estrogens that support the endometrium. As uncomplicated pregnancies progress, the placenta assumes the production of these hormones. The serum </w:t>
      </w:r>
      <w:proofErr w:type="spellStart"/>
      <w:r>
        <w:rPr>
          <w:rFonts w:ascii="Arial" w:hAnsi="Arial" w:cs="Arial"/>
          <w:bCs/>
          <w:sz w:val="18"/>
          <w:szCs w:val="18"/>
        </w:rPr>
        <w:t>hCG</w:t>
      </w:r>
      <w:proofErr w:type="spellEnd"/>
      <w:r>
        <w:rPr>
          <w:rFonts w:ascii="Arial" w:hAnsi="Arial" w:cs="Arial"/>
          <w:bCs/>
          <w:sz w:val="18"/>
          <w:szCs w:val="18"/>
        </w:rPr>
        <w:t xml:space="preserve"> levels increase to a peak concentration, then decrease and plateau. HCG circulates as the intact molecule in the serum of normal women who have an uncomplicated pregnancy. The subunits are cleared rapidly and excreted by the kidney. The placental hormone, </w:t>
      </w:r>
      <w:proofErr w:type="spellStart"/>
      <w:r>
        <w:rPr>
          <w:rFonts w:ascii="Arial" w:hAnsi="Arial" w:cs="Arial"/>
          <w:bCs/>
          <w:sz w:val="18"/>
          <w:szCs w:val="18"/>
        </w:rPr>
        <w:t>hCG</w:t>
      </w:r>
      <w:proofErr w:type="spellEnd"/>
      <w:r>
        <w:rPr>
          <w:rFonts w:ascii="Arial" w:hAnsi="Arial" w:cs="Arial"/>
          <w:bCs/>
          <w:sz w:val="18"/>
          <w:szCs w:val="18"/>
        </w:rPr>
        <w:t xml:space="preserve">, is </w:t>
      </w:r>
      <w:proofErr w:type="gramStart"/>
      <w:r>
        <w:rPr>
          <w:rFonts w:ascii="Arial" w:hAnsi="Arial" w:cs="Arial"/>
          <w:bCs/>
          <w:sz w:val="18"/>
          <w:szCs w:val="18"/>
        </w:rPr>
        <w:t>similar to</w:t>
      </w:r>
      <w:proofErr w:type="gramEnd"/>
      <w:r>
        <w:rPr>
          <w:rFonts w:ascii="Arial" w:hAnsi="Arial" w:cs="Arial"/>
          <w:bCs/>
          <w:sz w:val="18"/>
          <w:szCs w:val="18"/>
        </w:rPr>
        <w:t xml:space="preserve"> luteinizing hormone (LH), follicle stimulating hormone (FSH) and thyroid stimulating hormone (TSH). All are glycoproteins consisting of two non-covalently bound dissimilar subunits, designated alpha and beta, with attached carbohydrate sidechains. The alpha subunits of these glycoproteins are very similar. In contrast, the beta subunit portions determine the biological and immunochemical specificities. The </w:t>
      </w:r>
      <w:r>
        <w:rPr>
          <w:rFonts w:ascii="Arial" w:hAnsi="Arial" w:cs="Arial"/>
          <w:bCs/>
          <w:sz w:val="18"/>
          <w:szCs w:val="18"/>
        </w:rPr>
        <w:t xml:space="preserve">beta subunits of </w:t>
      </w:r>
      <w:proofErr w:type="spellStart"/>
      <w:r>
        <w:rPr>
          <w:rFonts w:ascii="Arial" w:hAnsi="Arial" w:cs="Arial"/>
          <w:bCs/>
          <w:sz w:val="18"/>
          <w:szCs w:val="18"/>
        </w:rPr>
        <w:t>hCG</w:t>
      </w:r>
      <w:proofErr w:type="spellEnd"/>
      <w:r>
        <w:rPr>
          <w:rFonts w:ascii="Arial" w:hAnsi="Arial" w:cs="Arial"/>
          <w:bCs/>
          <w:sz w:val="18"/>
          <w:szCs w:val="18"/>
        </w:rPr>
        <w:t xml:space="preserve"> and LH exhibit considerable homology in amino acid content. Amino acid residues specific for the beta subunit of </w:t>
      </w:r>
      <w:proofErr w:type="spellStart"/>
      <w:r>
        <w:rPr>
          <w:rFonts w:ascii="Arial" w:hAnsi="Arial" w:cs="Arial"/>
          <w:bCs/>
          <w:sz w:val="18"/>
          <w:szCs w:val="18"/>
        </w:rPr>
        <w:t>hCG</w:t>
      </w:r>
      <w:proofErr w:type="spellEnd"/>
      <w:r>
        <w:rPr>
          <w:rFonts w:ascii="Arial" w:hAnsi="Arial" w:cs="Arial"/>
          <w:bCs/>
          <w:sz w:val="18"/>
          <w:szCs w:val="18"/>
        </w:rPr>
        <w:t xml:space="preserve"> confer the immuno-chemical specificity. With the availability of sensitive quantitative assays for the measurement of serum β-</w:t>
      </w:r>
      <w:proofErr w:type="spellStart"/>
      <w:r>
        <w:rPr>
          <w:rFonts w:ascii="Arial" w:hAnsi="Arial" w:cs="Arial"/>
          <w:bCs/>
          <w:sz w:val="18"/>
          <w:szCs w:val="18"/>
        </w:rPr>
        <w:t>hCG</w:t>
      </w:r>
      <w:proofErr w:type="spellEnd"/>
      <w:r>
        <w:rPr>
          <w:rFonts w:ascii="Arial" w:hAnsi="Arial" w:cs="Arial"/>
          <w:bCs/>
          <w:sz w:val="18"/>
          <w:szCs w:val="18"/>
        </w:rPr>
        <w:t xml:space="preserve">, it has been shown that </w:t>
      </w:r>
      <w:proofErr w:type="spellStart"/>
      <w:r>
        <w:rPr>
          <w:rFonts w:ascii="Arial" w:hAnsi="Arial" w:cs="Arial"/>
          <w:bCs/>
          <w:sz w:val="18"/>
          <w:szCs w:val="18"/>
        </w:rPr>
        <w:t>hCG</w:t>
      </w:r>
      <w:proofErr w:type="spellEnd"/>
      <w:r>
        <w:rPr>
          <w:rFonts w:ascii="Arial" w:hAnsi="Arial" w:cs="Arial"/>
          <w:bCs/>
          <w:sz w:val="18"/>
          <w:szCs w:val="18"/>
        </w:rPr>
        <w:t xml:space="preserve"> levels can be useful in predicting spontaneous abortions, aiding in the detection of ectopic pregnancy and multiple gestation. Elevated levels of </w:t>
      </w:r>
      <w:proofErr w:type="spellStart"/>
      <w:r>
        <w:rPr>
          <w:rFonts w:ascii="Arial" w:hAnsi="Arial" w:cs="Arial"/>
          <w:bCs/>
          <w:sz w:val="18"/>
          <w:szCs w:val="18"/>
        </w:rPr>
        <w:t>hCG</w:t>
      </w:r>
      <w:proofErr w:type="spellEnd"/>
      <w:r>
        <w:rPr>
          <w:rFonts w:ascii="Arial" w:hAnsi="Arial" w:cs="Arial"/>
          <w:bCs/>
          <w:sz w:val="18"/>
          <w:szCs w:val="18"/>
        </w:rPr>
        <w:t xml:space="preserve"> have also been detected in serum from patients with abnormal physiological conditions not related to pregnancy. </w:t>
      </w:r>
    </w:p>
    <w:p w14:paraId="2743A75A" w14:textId="77777777" w:rsidR="00502F3A" w:rsidRDefault="00502F3A">
      <w:pPr>
        <w:tabs>
          <w:tab w:val="left" w:pos="360"/>
        </w:tabs>
        <w:ind w:left="349"/>
        <w:jc w:val="both"/>
        <w:rPr>
          <w:rFonts w:ascii="Arial" w:hAnsi="Arial" w:cs="Arial"/>
          <w:bCs/>
          <w:sz w:val="18"/>
          <w:szCs w:val="18"/>
        </w:rPr>
      </w:pPr>
    </w:p>
    <w:p w14:paraId="6977F40C"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PRINCIPLE OF THE ASSAY</w:t>
      </w:r>
    </w:p>
    <w:p w14:paraId="39DA4DB9"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Quantitative Test Kit is a sandwich-based enzyme-linked immunosorbent assay. The test employs one anti- β-</w:t>
      </w:r>
      <w:proofErr w:type="spellStart"/>
      <w:r>
        <w:rPr>
          <w:rFonts w:ascii="Arial" w:hAnsi="Arial" w:cs="Arial"/>
          <w:bCs/>
          <w:sz w:val="18"/>
          <w:szCs w:val="18"/>
        </w:rPr>
        <w:t>hCG</w:t>
      </w:r>
      <w:proofErr w:type="spellEnd"/>
      <w:r>
        <w:rPr>
          <w:rFonts w:ascii="Arial" w:hAnsi="Arial" w:cs="Arial"/>
          <w:bCs/>
          <w:sz w:val="18"/>
          <w:szCs w:val="18"/>
        </w:rPr>
        <w:t xml:space="preserve"> antibody for solid phase (microtiter wells) immobilization and another mouse monoclonal anti β</w:t>
      </w:r>
      <w:proofErr w:type="spellStart"/>
      <w:r>
        <w:rPr>
          <w:rFonts w:ascii="Arial" w:hAnsi="Arial" w:cs="Arial"/>
          <w:bCs/>
          <w:sz w:val="18"/>
          <w:szCs w:val="18"/>
        </w:rPr>
        <w:t>hCG</w:t>
      </w:r>
      <w:proofErr w:type="spellEnd"/>
      <w:r>
        <w:rPr>
          <w:rFonts w:ascii="Arial" w:hAnsi="Arial" w:cs="Arial"/>
          <w:bCs/>
          <w:sz w:val="18"/>
          <w:szCs w:val="18"/>
        </w:rPr>
        <w:t xml:space="preserve"> antibody in the antibody-enzyme (horseradish peroxidase) conjugate solution. The test sample is added to the </w:t>
      </w:r>
      <w:proofErr w:type="spellStart"/>
      <w:r>
        <w:rPr>
          <w:rFonts w:ascii="Arial" w:hAnsi="Arial" w:cs="Arial"/>
          <w:bCs/>
          <w:sz w:val="18"/>
          <w:szCs w:val="18"/>
        </w:rPr>
        <w:t>hCG</w:t>
      </w:r>
      <w:proofErr w:type="spellEnd"/>
      <w:r>
        <w:rPr>
          <w:rFonts w:ascii="Arial" w:hAnsi="Arial" w:cs="Arial"/>
          <w:bCs/>
          <w:sz w:val="18"/>
          <w:szCs w:val="18"/>
        </w:rPr>
        <w:t xml:space="preserve"> antibody coated microtiter wells and incubated with the Zero Buffer. If antigen is present in the specimen, it will combine with the antibody on the well. The well is then washed to remove any residual test specimen, and </w:t>
      </w:r>
      <w:proofErr w:type="spellStart"/>
      <w:r>
        <w:rPr>
          <w:rFonts w:ascii="Arial" w:hAnsi="Arial" w:cs="Arial"/>
          <w:bCs/>
          <w:sz w:val="18"/>
          <w:szCs w:val="18"/>
        </w:rPr>
        <w:t>hCG</w:t>
      </w:r>
      <w:proofErr w:type="spellEnd"/>
      <w:r>
        <w:rPr>
          <w:rFonts w:ascii="Arial" w:hAnsi="Arial" w:cs="Arial"/>
          <w:bCs/>
          <w:sz w:val="18"/>
          <w:szCs w:val="18"/>
        </w:rPr>
        <w:t xml:space="preserve"> antibody labeled with horseradish peroxidase (conjugate) is added. The conjugate will bind immunologically to the β-</w:t>
      </w:r>
      <w:proofErr w:type="spellStart"/>
      <w:r>
        <w:rPr>
          <w:rFonts w:ascii="Arial" w:hAnsi="Arial" w:cs="Arial"/>
          <w:bCs/>
          <w:sz w:val="18"/>
          <w:szCs w:val="18"/>
        </w:rPr>
        <w:t>hCG</w:t>
      </w:r>
      <w:proofErr w:type="spellEnd"/>
      <w:r>
        <w:rPr>
          <w:rFonts w:ascii="Arial" w:hAnsi="Arial" w:cs="Arial"/>
          <w:bCs/>
          <w:sz w:val="18"/>
          <w:szCs w:val="18"/>
        </w:rPr>
        <w:t xml:space="preserve"> on the well, resulting in the antigen molecules being sandwiched between the solid phase and enzyme-linked antibodies. After incubation, the wells are washed to remove unbound labeled antibodies. A solution of TMB is added resulting in the development of a blue color. The color development is stopped by addition of stop solution and absorbance is determined for each well using an ELISA reader. The concentration of antigen is directly proportional to the color intensity of the test sample. </w:t>
      </w:r>
    </w:p>
    <w:p w14:paraId="06E47220" w14:textId="77777777" w:rsidR="00502F3A" w:rsidRDefault="00502F3A">
      <w:pPr>
        <w:tabs>
          <w:tab w:val="left" w:pos="360"/>
        </w:tabs>
        <w:ind w:left="349"/>
        <w:jc w:val="both"/>
        <w:rPr>
          <w:rFonts w:ascii="Arial" w:hAnsi="Arial" w:cs="Arial"/>
          <w:bCs/>
          <w:sz w:val="18"/>
          <w:szCs w:val="18"/>
        </w:rPr>
      </w:pPr>
    </w:p>
    <w:p w14:paraId="04FAE6C8"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 xml:space="preserve">MATERIALS AND COMPONENTS Materials provided with the test kits: </w:t>
      </w:r>
    </w:p>
    <w:p w14:paraId="28744021"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Coated Microwells: Microwells coated with anti- </w:t>
      </w:r>
      <w:proofErr w:type="spellStart"/>
      <w:r>
        <w:rPr>
          <w:rFonts w:ascii="Arial" w:hAnsi="Arial" w:cs="Arial"/>
          <w:bCs/>
          <w:sz w:val="18"/>
          <w:szCs w:val="18"/>
        </w:rPr>
        <w:t>hCG</w:t>
      </w:r>
      <w:proofErr w:type="spellEnd"/>
      <w:r>
        <w:rPr>
          <w:rFonts w:ascii="Arial" w:hAnsi="Arial" w:cs="Arial"/>
          <w:bCs/>
          <w:sz w:val="18"/>
          <w:szCs w:val="18"/>
        </w:rPr>
        <w:t xml:space="preserve"> antibody.</w:t>
      </w:r>
    </w:p>
    <w:p w14:paraId="0ECCF1AE"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Zero buffer. Ready to use </w:t>
      </w:r>
    </w:p>
    <w:p w14:paraId="676062D2"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Enzyme Conjugate. Ready to use.</w:t>
      </w:r>
    </w:p>
    <w:p w14:paraId="77BBFE7C"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TMB Substrate</w:t>
      </w:r>
    </w:p>
    <w:p w14:paraId="021EBFFB"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Stop Solution </w:t>
      </w:r>
    </w:p>
    <w:p w14:paraId="70B7A712"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standard set of 6 standards labelled as A to F in liquid </w:t>
      </w:r>
      <w:proofErr w:type="spellStart"/>
      <w:proofErr w:type="gramStart"/>
      <w:r>
        <w:rPr>
          <w:rFonts w:ascii="Arial" w:hAnsi="Arial" w:cs="Arial"/>
          <w:bCs/>
          <w:sz w:val="18"/>
          <w:szCs w:val="18"/>
        </w:rPr>
        <w:t>form.For</w:t>
      </w:r>
      <w:proofErr w:type="spellEnd"/>
      <w:proofErr w:type="gramEnd"/>
      <w:r>
        <w:rPr>
          <w:rFonts w:ascii="Arial" w:hAnsi="Arial" w:cs="Arial"/>
          <w:bCs/>
          <w:sz w:val="18"/>
          <w:szCs w:val="18"/>
        </w:rPr>
        <w:t xml:space="preserve"> standard concentrations refer vial label.</w:t>
      </w:r>
    </w:p>
    <w:p w14:paraId="509141CB"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6F95FB02"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Control Set </w:t>
      </w:r>
    </w:p>
    <w:p w14:paraId="67CB7C00"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04610B02"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Plate Sealer</w:t>
      </w:r>
    </w:p>
    <w:p w14:paraId="19EFFAA2"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Protocol Sheet </w:t>
      </w:r>
    </w:p>
    <w:p w14:paraId="266EE774"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07B21560" w14:textId="77777777" w:rsidR="00502F3A" w:rsidRDefault="00502F3A">
      <w:pPr>
        <w:tabs>
          <w:tab w:val="left" w:pos="360"/>
        </w:tabs>
        <w:ind w:left="349"/>
        <w:jc w:val="both"/>
        <w:rPr>
          <w:rFonts w:ascii="Arial" w:hAnsi="Arial" w:cs="Arial"/>
          <w:bCs/>
          <w:sz w:val="18"/>
          <w:szCs w:val="18"/>
        </w:rPr>
      </w:pPr>
    </w:p>
    <w:p w14:paraId="55EABB3F"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 xml:space="preserve">Materials required but not provided </w:t>
      </w:r>
    </w:p>
    <w:p w14:paraId="291E42A5"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Precision pipettes: 10-100µl, 20-200µl, </w:t>
      </w:r>
    </w:p>
    <w:p w14:paraId="08EF76DB" w14:textId="77777777" w:rsidR="00502F3A" w:rsidRDefault="00000000">
      <w:pPr>
        <w:pStyle w:val="ListParagraph"/>
        <w:tabs>
          <w:tab w:val="left" w:pos="360"/>
        </w:tabs>
        <w:ind w:left="349" w:firstLineChars="200" w:firstLine="360"/>
        <w:jc w:val="both"/>
        <w:rPr>
          <w:rFonts w:ascii="Arial" w:hAnsi="Arial" w:cs="Arial"/>
          <w:bCs/>
          <w:sz w:val="18"/>
          <w:szCs w:val="18"/>
        </w:rPr>
      </w:pPr>
      <w:r>
        <w:rPr>
          <w:rFonts w:ascii="Arial" w:hAnsi="Arial" w:cs="Arial"/>
          <w:bCs/>
          <w:sz w:val="18"/>
          <w:szCs w:val="18"/>
        </w:rPr>
        <w:t xml:space="preserve">100-1000µl  </w:t>
      </w:r>
    </w:p>
    <w:p w14:paraId="65AF6AE6"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Disposable pipette tips</w:t>
      </w:r>
    </w:p>
    <w:p w14:paraId="15A4F45D"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Distilled water </w:t>
      </w:r>
    </w:p>
    <w:p w14:paraId="743F6275"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Disposable Gloves</w:t>
      </w:r>
    </w:p>
    <w:p w14:paraId="3EB11811"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ELISA reader</w:t>
      </w:r>
    </w:p>
    <w:p w14:paraId="2AF51DDE" w14:textId="77777777" w:rsidR="00502F3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ELISA washer</w:t>
      </w:r>
    </w:p>
    <w:p w14:paraId="18879163" w14:textId="77777777" w:rsidR="00502F3A" w:rsidRDefault="00502F3A">
      <w:pPr>
        <w:tabs>
          <w:tab w:val="left" w:pos="360"/>
        </w:tabs>
        <w:ind w:left="349"/>
        <w:jc w:val="both"/>
        <w:rPr>
          <w:rFonts w:ascii="Arial" w:hAnsi="Arial" w:cs="Arial"/>
          <w:bCs/>
          <w:sz w:val="18"/>
          <w:szCs w:val="18"/>
        </w:rPr>
      </w:pPr>
    </w:p>
    <w:p w14:paraId="23E13E3C"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 xml:space="preserve"> STORAGE AND STABILITY </w:t>
      </w:r>
    </w:p>
    <w:p w14:paraId="131D5147" w14:textId="390D0D04" w:rsidR="00502F3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β-</w:t>
      </w:r>
      <w:proofErr w:type="spellStart"/>
      <w:r>
        <w:rPr>
          <w:rFonts w:ascii="Arial" w:hAnsi="Arial" w:cs="Arial"/>
          <w:bCs/>
          <w:sz w:val="18"/>
          <w:szCs w:val="18"/>
        </w:rPr>
        <w:t>hCG</w:t>
      </w:r>
      <w:proofErr w:type="spellEnd"/>
      <w:r w:rsidR="00101D45">
        <w:rPr>
          <w:rFonts w:ascii="Arial" w:hAnsi="Arial" w:cs="Arial"/>
          <w:bCs/>
          <w:sz w:val="18"/>
          <w:szCs w:val="18"/>
        </w:rPr>
        <w:t xml:space="preserve"> </w:t>
      </w:r>
      <w:r>
        <w:rPr>
          <w:rFonts w:ascii="Arial" w:hAnsi="Arial" w:cs="Arial"/>
          <w:bCs/>
          <w:sz w:val="18"/>
          <w:szCs w:val="18"/>
        </w:rPr>
        <w:t xml:space="preserve">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66C3BD39" w14:textId="77777777" w:rsidR="00502F3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7E3F28E4" w14:textId="77777777" w:rsidR="00502F3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 </w:t>
      </w:r>
    </w:p>
    <w:p w14:paraId="5810B653" w14:textId="77777777" w:rsidR="00502F3A" w:rsidRDefault="00502F3A">
      <w:pPr>
        <w:tabs>
          <w:tab w:val="left" w:pos="360"/>
        </w:tabs>
        <w:ind w:left="349"/>
        <w:jc w:val="both"/>
        <w:rPr>
          <w:rFonts w:ascii="Arial" w:hAnsi="Arial" w:cs="Arial"/>
          <w:bCs/>
          <w:sz w:val="18"/>
          <w:szCs w:val="18"/>
        </w:rPr>
      </w:pPr>
    </w:p>
    <w:p w14:paraId="142F85F7"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 xml:space="preserve">SPECIMEN COLLECTION </w:t>
      </w:r>
    </w:p>
    <w:p w14:paraId="7E331936"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Collect Blood specimen by venipuncture according to the standard procedure.</w:t>
      </w:r>
    </w:p>
    <w:p w14:paraId="095B2D93"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Only serum should be used. </w:t>
      </w:r>
    </w:p>
    <w:p w14:paraId="09F004BF"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57F2CA88"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Preferably use fresh samples. However, specimens can be stored up to 48 hours at 2-8°C, for short duration. </w:t>
      </w:r>
    </w:p>
    <w:p w14:paraId="1850B79F"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6BA11E09"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Do not heat inactivate before use. </w:t>
      </w:r>
    </w:p>
    <w:p w14:paraId="1F0A1FDB"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lastRenderedPageBreak/>
        <w:t xml:space="preserve">Specimen containing precipitate or particulate matter should be clarified by centrifugation prior to use. </w:t>
      </w:r>
    </w:p>
    <w:p w14:paraId="6274CD47" w14:textId="77777777" w:rsidR="00502F3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Specimen should be free from particulate matter and microbial contamination. </w:t>
      </w:r>
    </w:p>
    <w:p w14:paraId="35F409E4" w14:textId="77777777" w:rsidR="00502F3A" w:rsidRDefault="00502F3A">
      <w:pPr>
        <w:tabs>
          <w:tab w:val="left" w:pos="360"/>
        </w:tabs>
        <w:jc w:val="both"/>
        <w:rPr>
          <w:rFonts w:ascii="Arial" w:hAnsi="Arial" w:cs="Arial"/>
          <w:bCs/>
          <w:sz w:val="18"/>
          <w:szCs w:val="18"/>
        </w:rPr>
      </w:pPr>
    </w:p>
    <w:p w14:paraId="6E2C3549"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 xml:space="preserve">PRECAUTIONS </w:t>
      </w:r>
    </w:p>
    <w:p w14:paraId="310519F9"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2BC22107"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5179CC87"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eat, drink or smoke in the area where testing is done.</w:t>
      </w:r>
    </w:p>
    <w:p w14:paraId="48A83FB8"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79A1462A"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Use absorbent sheet to cover the working area.</w:t>
      </w:r>
    </w:p>
    <w:p w14:paraId="3B0DAEAC"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16F2C83D"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7AF89822"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2DF15799"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use kit after the expiry date.</w:t>
      </w:r>
    </w:p>
    <w:p w14:paraId="1EBA5D2E"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mix components of one kit with another. </w:t>
      </w:r>
    </w:p>
    <w:p w14:paraId="6E9563F5"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 Always use new tip for each specimen and reagent. </w:t>
      </w:r>
    </w:p>
    <w:p w14:paraId="74289B52"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54DB9997" w14:textId="77777777" w:rsidR="00502F3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07A018FD" w14:textId="77777777" w:rsidR="00502F3A" w:rsidRDefault="00502F3A">
      <w:pPr>
        <w:tabs>
          <w:tab w:val="left" w:pos="360"/>
        </w:tabs>
        <w:ind w:left="349"/>
        <w:jc w:val="both"/>
        <w:rPr>
          <w:rFonts w:ascii="Arial" w:hAnsi="Arial" w:cs="Arial"/>
          <w:bCs/>
          <w:sz w:val="18"/>
          <w:szCs w:val="18"/>
        </w:rPr>
      </w:pPr>
    </w:p>
    <w:p w14:paraId="23EB614D"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 xml:space="preserve"> REAGENT PREPARATION </w:t>
      </w:r>
    </w:p>
    <w:p w14:paraId="18009414" w14:textId="77777777" w:rsidR="00502F3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693D7338" w14:textId="77777777" w:rsidR="00502F3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Dilute Wash Buffer 20 times (for example add 5 ml concentrated buffer to 95 ml distilled or deionized water). Mix well before use.</w:t>
      </w:r>
    </w:p>
    <w:p w14:paraId="757A0EC5" w14:textId="77777777" w:rsidR="00502F3A" w:rsidRDefault="00502F3A">
      <w:pPr>
        <w:tabs>
          <w:tab w:val="left" w:pos="360"/>
        </w:tabs>
        <w:ind w:left="349"/>
        <w:jc w:val="both"/>
        <w:rPr>
          <w:rFonts w:ascii="Arial" w:hAnsi="Arial" w:cs="Arial"/>
          <w:bCs/>
          <w:sz w:val="18"/>
          <w:szCs w:val="18"/>
        </w:rPr>
      </w:pPr>
    </w:p>
    <w:p w14:paraId="66959D31" w14:textId="77777777" w:rsidR="00502F3A" w:rsidRDefault="00000000">
      <w:pPr>
        <w:tabs>
          <w:tab w:val="left" w:pos="360"/>
        </w:tabs>
        <w:ind w:left="349"/>
        <w:jc w:val="both"/>
        <w:rPr>
          <w:rFonts w:ascii="Arial" w:hAnsi="Arial" w:cs="Arial"/>
          <w:bCs/>
          <w:sz w:val="18"/>
          <w:szCs w:val="18"/>
        </w:rPr>
      </w:pPr>
      <w:r>
        <w:rPr>
          <w:rFonts w:ascii="Arial" w:hAnsi="Arial" w:cs="Arial"/>
          <w:bCs/>
          <w:sz w:val="18"/>
          <w:szCs w:val="18"/>
        </w:rPr>
        <w:t>ASSAY PROCEDURE</w:t>
      </w:r>
    </w:p>
    <w:p w14:paraId="14BC43EF"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Secure the desired number of coated wells in the holder. Dispense 25 µl of Standards, controls and sera into the appropriate wells.</w:t>
      </w:r>
    </w:p>
    <w:p w14:paraId="1586E737"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Dispense 50 µl of Zero Buffer into each well. Incubate at room temperature (18-25°C), for 20 minutes. </w:t>
      </w:r>
    </w:p>
    <w:p w14:paraId="7360F614"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69CD59F2"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Dispense 75 µl of Enzyme Conjugate into each well. Incubate at room temperature (18-25°C) in the dark, for 20 minutes.</w:t>
      </w:r>
    </w:p>
    <w:p w14:paraId="06007C59"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 </w:t>
      </w:r>
    </w:p>
    <w:p w14:paraId="5BAF173B"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Dispense 100 µl of TMB Substrate into each well. Incubate at room o temperature (18-25°C), in the dark, for 20 minutes.</w:t>
      </w:r>
    </w:p>
    <w:p w14:paraId="671B1569"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15115B54" w14:textId="77777777" w:rsidR="00502F3A"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55E9547F" w14:textId="77777777" w:rsidR="00502F3A" w:rsidRDefault="00502F3A">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502F3A" w14:paraId="13C020DE" w14:textId="77777777">
        <w:trPr>
          <w:trHeight w:val="360"/>
        </w:trPr>
        <w:tc>
          <w:tcPr>
            <w:tcW w:w="3546" w:type="dxa"/>
            <w:shd w:val="clear" w:color="auto" w:fill="auto"/>
          </w:tcPr>
          <w:p w14:paraId="735B61B4" w14:textId="77777777" w:rsidR="00502F3A" w:rsidRDefault="00000000">
            <w:pPr>
              <w:tabs>
                <w:tab w:val="left" w:pos="360"/>
              </w:tabs>
              <w:jc w:val="both"/>
              <w:rPr>
                <w:rFonts w:ascii="Arial" w:hAnsi="Arial" w:cs="Arial"/>
                <w:bCs/>
                <w:sz w:val="18"/>
                <w:szCs w:val="18"/>
              </w:rPr>
            </w:pPr>
            <w:r>
              <w:rPr>
                <w:rFonts w:ascii="Arial" w:hAnsi="Arial" w:cs="Arial"/>
                <w:bCs/>
                <w:sz w:val="18"/>
                <w:szCs w:val="18"/>
              </w:rPr>
              <w:t>Add 25 µl Standards/controls/samples into the respective Microwells</w:t>
            </w:r>
          </w:p>
        </w:tc>
      </w:tr>
    </w:tbl>
    <w:p w14:paraId="4CB99C78"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00D23F98" wp14:editId="1CDE5E00">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07B48DCD"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76505FFC" w14:textId="77777777">
        <w:trPr>
          <w:trHeight w:val="275"/>
        </w:trPr>
        <w:tc>
          <w:tcPr>
            <w:tcW w:w="3604" w:type="dxa"/>
            <w:shd w:val="clear" w:color="auto" w:fill="auto"/>
          </w:tcPr>
          <w:p w14:paraId="34B09BA9" w14:textId="77777777" w:rsidR="00502F3A" w:rsidRDefault="00000000">
            <w:pPr>
              <w:tabs>
                <w:tab w:val="left" w:pos="360"/>
              </w:tabs>
              <w:jc w:val="both"/>
              <w:rPr>
                <w:rFonts w:ascii="Arial" w:hAnsi="Arial" w:cs="Arial"/>
                <w:bCs/>
                <w:sz w:val="18"/>
                <w:szCs w:val="18"/>
              </w:rPr>
            </w:pPr>
            <w:r>
              <w:rPr>
                <w:rFonts w:ascii="Arial" w:hAnsi="Arial" w:cs="Arial"/>
                <w:bCs/>
                <w:sz w:val="18"/>
                <w:szCs w:val="18"/>
              </w:rPr>
              <w:t>Add 50 µl Zero Buffer in each well</w:t>
            </w:r>
          </w:p>
        </w:tc>
      </w:tr>
    </w:tbl>
    <w:p w14:paraId="047F2C3B"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19C8DDD2" wp14:editId="49F26DFC">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1DD07348"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0AEF1F77" w14:textId="77777777">
        <w:trPr>
          <w:trHeight w:val="376"/>
        </w:trPr>
        <w:tc>
          <w:tcPr>
            <w:tcW w:w="3604" w:type="dxa"/>
            <w:shd w:val="clear" w:color="auto" w:fill="auto"/>
          </w:tcPr>
          <w:p w14:paraId="60E34C33" w14:textId="77777777" w:rsidR="00502F3A"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20 minutes at 18-25°C</w:t>
            </w:r>
          </w:p>
        </w:tc>
      </w:tr>
    </w:tbl>
    <w:p w14:paraId="1296D107"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74723093" wp14:editId="5BBE7F9F">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3EDDC73E"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4E9DDC88" w14:textId="77777777">
        <w:trPr>
          <w:trHeight w:val="303"/>
        </w:trPr>
        <w:tc>
          <w:tcPr>
            <w:tcW w:w="3604" w:type="dxa"/>
            <w:shd w:val="clear" w:color="auto" w:fill="auto"/>
          </w:tcPr>
          <w:p w14:paraId="5D317D39" w14:textId="77777777" w:rsidR="00502F3A"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19222BAB"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3632D94B" wp14:editId="57C6E69D">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4EF205EE"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1204B3CC" w14:textId="77777777">
        <w:tc>
          <w:tcPr>
            <w:tcW w:w="3604" w:type="dxa"/>
            <w:shd w:val="clear" w:color="auto" w:fill="auto"/>
          </w:tcPr>
          <w:p w14:paraId="35DA47E4" w14:textId="77777777" w:rsidR="00502F3A" w:rsidRDefault="00000000">
            <w:pPr>
              <w:tabs>
                <w:tab w:val="left" w:pos="360"/>
              </w:tabs>
              <w:jc w:val="both"/>
              <w:rPr>
                <w:rFonts w:ascii="Arial" w:hAnsi="Arial" w:cs="Arial"/>
                <w:bCs/>
                <w:sz w:val="18"/>
                <w:szCs w:val="18"/>
              </w:rPr>
            </w:pPr>
            <w:r>
              <w:rPr>
                <w:rFonts w:ascii="Arial" w:hAnsi="Arial" w:cs="Arial"/>
                <w:bCs/>
                <w:sz w:val="18"/>
                <w:szCs w:val="18"/>
              </w:rPr>
              <w:t>Add 75 µl Enzyme conjugate in each well</w:t>
            </w:r>
          </w:p>
        </w:tc>
      </w:tr>
    </w:tbl>
    <w:p w14:paraId="597254E7"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048A031C" wp14:editId="3DA5F621">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122FF9D0"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76F6B109" w14:textId="77777777">
        <w:tc>
          <w:tcPr>
            <w:tcW w:w="3604" w:type="dxa"/>
            <w:shd w:val="clear" w:color="auto" w:fill="auto"/>
          </w:tcPr>
          <w:p w14:paraId="558F5683" w14:textId="77777777" w:rsidR="00502F3A"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20 minutes at 18-25°C</w:t>
            </w:r>
          </w:p>
        </w:tc>
      </w:tr>
    </w:tbl>
    <w:p w14:paraId="70F2911D"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22E0293B" wp14:editId="0C9A7CBA">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24B606A3"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2F4E6DD4" w14:textId="77777777">
        <w:trPr>
          <w:trHeight w:val="303"/>
        </w:trPr>
        <w:tc>
          <w:tcPr>
            <w:tcW w:w="3604" w:type="dxa"/>
            <w:shd w:val="clear" w:color="auto" w:fill="auto"/>
          </w:tcPr>
          <w:p w14:paraId="762973DA" w14:textId="77777777" w:rsidR="00502F3A"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6ED82CC3"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1DAF9934" wp14:editId="74952B1E">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763A315E"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5171CCAF" w14:textId="77777777">
        <w:tc>
          <w:tcPr>
            <w:tcW w:w="3604" w:type="dxa"/>
            <w:shd w:val="clear" w:color="auto" w:fill="auto"/>
          </w:tcPr>
          <w:p w14:paraId="3184DF28" w14:textId="77777777" w:rsidR="00502F3A"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15C63689"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8480" behindDoc="0" locked="0" layoutInCell="1" allowOverlap="1" wp14:anchorId="19A405D4" wp14:editId="44804718">
                <wp:simplePos x="0" y="0"/>
                <wp:positionH relativeFrom="column">
                  <wp:posOffset>1333500</wp:posOffset>
                </wp:positionH>
                <wp:positionV relativeFrom="paragraph">
                  <wp:posOffset>10795</wp:posOffset>
                </wp:positionV>
                <wp:extent cx="76200" cy="266700"/>
                <wp:effectExtent l="19050" t="0" r="38100" b="38100"/>
                <wp:wrapNone/>
                <wp:docPr id="125611941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5pt;margin-top:0.85pt;height:21pt;width:6pt;z-index:251668480;mso-width-relative:page;mso-height-relative:page;" fillcolor="#000000" filled="t" stroked="t" coordsize="21600,21600" o:gfxdata="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T+3mnWAAAACAEAAA8AAAAAAAAAAQAg&#10;AAAAIgAAAGRycy9kb3ducmV2LnhtbFBLAQIUABQAAAAIAIdO4kAgoP/2SQIAANIEAAAOAAAAAAAA&#10;AAEAIAAAACU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7026DAE4" w14:textId="77777777" w:rsidR="00502F3A" w:rsidRDefault="00502F3A">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5DC6BBEF" w14:textId="77777777">
        <w:trPr>
          <w:trHeight w:val="303"/>
        </w:trPr>
        <w:tc>
          <w:tcPr>
            <w:tcW w:w="3604" w:type="dxa"/>
            <w:shd w:val="clear" w:color="auto" w:fill="auto"/>
          </w:tcPr>
          <w:p w14:paraId="1DA854B7" w14:textId="77777777" w:rsidR="00502F3A" w:rsidRDefault="00000000">
            <w:pPr>
              <w:tabs>
                <w:tab w:val="left" w:pos="360"/>
              </w:tabs>
              <w:jc w:val="both"/>
              <w:rPr>
                <w:rFonts w:ascii="Arial" w:hAnsi="Arial" w:cs="Arial"/>
                <w:bCs/>
                <w:sz w:val="18"/>
                <w:szCs w:val="18"/>
              </w:rPr>
            </w:pPr>
            <w:r>
              <w:rPr>
                <w:rFonts w:ascii="Arial" w:hAnsi="Arial" w:cs="Arial"/>
                <w:bCs/>
                <w:sz w:val="18"/>
                <w:szCs w:val="18"/>
              </w:rPr>
              <w:t>Incubate for 20 minutes at 18-25° C in dark</w:t>
            </w:r>
          </w:p>
        </w:tc>
      </w:tr>
    </w:tbl>
    <w:p w14:paraId="2C24964B" w14:textId="77777777" w:rsidR="00502F3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08343C96" wp14:editId="57050A4D">
                <wp:simplePos x="0" y="0"/>
                <wp:positionH relativeFrom="column">
                  <wp:posOffset>1314450</wp:posOffset>
                </wp:positionH>
                <wp:positionV relativeFrom="paragraph">
                  <wp:posOffset>1270</wp:posOffset>
                </wp:positionV>
                <wp:extent cx="76200" cy="266700"/>
                <wp:effectExtent l="19050" t="0" r="38100" b="38100"/>
                <wp:wrapNone/>
                <wp:docPr id="210903542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7456;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My0FNUAAAAHAQAADwAAAAAAAAABACAA&#10;AAAiAAAAZHJzL2Rvd25yZXYueG1sUEsBAhQAFAAAAAgAh07iQGDCphB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12A68641" w14:textId="77777777" w:rsidR="00502F3A" w:rsidRDefault="00502F3A">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55A4F2CC" w14:textId="77777777">
        <w:tc>
          <w:tcPr>
            <w:tcW w:w="3604" w:type="dxa"/>
            <w:shd w:val="clear" w:color="auto" w:fill="auto"/>
          </w:tcPr>
          <w:p w14:paraId="19791846" w14:textId="77777777" w:rsidR="00502F3A"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34034CE2" w14:textId="77777777" w:rsidR="00502F3A"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9504" behindDoc="0" locked="0" layoutInCell="1" allowOverlap="1" wp14:anchorId="77691492" wp14:editId="154714C3">
                <wp:simplePos x="0" y="0"/>
                <wp:positionH relativeFrom="column">
                  <wp:posOffset>1314450</wp:posOffset>
                </wp:positionH>
                <wp:positionV relativeFrom="paragraph">
                  <wp:posOffset>8255</wp:posOffset>
                </wp:positionV>
                <wp:extent cx="76200" cy="266700"/>
                <wp:effectExtent l="19050" t="0" r="38100" b="38100"/>
                <wp:wrapNone/>
                <wp:docPr id="21006090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65pt;height:21pt;width:6pt;z-index:251669504;mso-width-relative:page;mso-height-relative:page;" fillcolor="#000000" filled="t" stroked="t" coordsize="21600,21600" o:gfxdata="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Cu0WfXAAAACAEAAA8AAAAAAAAAAQAg&#10;AAAAIgAAAGRycy9kb3ducmV2LnhtbFBLAQIUABQAAAAIAIdO4kDGevdm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7DA94C98" w14:textId="77777777" w:rsidR="00502F3A" w:rsidRDefault="00502F3A">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02F3A" w14:paraId="219AD8D0" w14:textId="77777777">
        <w:tc>
          <w:tcPr>
            <w:tcW w:w="3604" w:type="dxa"/>
            <w:shd w:val="clear" w:color="auto" w:fill="auto"/>
          </w:tcPr>
          <w:p w14:paraId="62EC62E5" w14:textId="77777777" w:rsidR="00502F3A"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4C7C7370" w14:textId="77777777" w:rsidR="00502F3A" w:rsidRDefault="00502F3A">
      <w:pPr>
        <w:tabs>
          <w:tab w:val="left" w:pos="360"/>
        </w:tabs>
        <w:jc w:val="both"/>
        <w:rPr>
          <w:rFonts w:ascii="Arial" w:hAnsi="Arial" w:cs="Arial"/>
          <w:bCs/>
          <w:sz w:val="18"/>
          <w:szCs w:val="18"/>
        </w:rPr>
      </w:pPr>
    </w:p>
    <w:p w14:paraId="5D655B4A" w14:textId="77777777" w:rsidR="00502F3A" w:rsidRDefault="00000000">
      <w:pPr>
        <w:tabs>
          <w:tab w:val="left" w:pos="360"/>
        </w:tabs>
        <w:jc w:val="both"/>
        <w:rPr>
          <w:rFonts w:ascii="Arial" w:hAnsi="Arial" w:cs="Arial"/>
          <w:bCs/>
          <w:sz w:val="18"/>
          <w:szCs w:val="18"/>
        </w:rPr>
      </w:pPr>
      <w:r>
        <w:rPr>
          <w:rFonts w:ascii="Arial" w:hAnsi="Arial" w:cs="Arial"/>
          <w:bCs/>
          <w:sz w:val="18"/>
          <w:szCs w:val="18"/>
        </w:rPr>
        <w:t xml:space="preserve">CALCULATION OF RESULTS </w:t>
      </w:r>
    </w:p>
    <w:p w14:paraId="146C0A4A" w14:textId="77777777" w:rsidR="00502F3A" w:rsidRDefault="00000000">
      <w:pPr>
        <w:tabs>
          <w:tab w:val="left" w:pos="360"/>
        </w:tabs>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standards against its concentrations in </w:t>
      </w:r>
      <w:proofErr w:type="spellStart"/>
      <w:r>
        <w:rPr>
          <w:rFonts w:ascii="Arial" w:hAnsi="Arial" w:cs="Arial"/>
          <w:bCs/>
          <w:sz w:val="18"/>
          <w:szCs w:val="18"/>
        </w:rPr>
        <w:t>mIU</w:t>
      </w:r>
      <w:proofErr w:type="spellEnd"/>
      <w:r>
        <w:rPr>
          <w:rFonts w:ascii="Arial" w:hAnsi="Arial" w:cs="Arial"/>
          <w:bCs/>
          <w:sz w:val="18"/>
          <w:szCs w:val="18"/>
        </w:rPr>
        <w:t>/ml on the graph paper, with absorbance values on the vertical or Y axis and concentrations on the horizontal or X axis. Use the absorbance values for each specimen to determine the corresponding concentration of Total β-</w:t>
      </w:r>
      <w:proofErr w:type="spellStart"/>
      <w:r>
        <w:rPr>
          <w:rFonts w:ascii="Arial" w:hAnsi="Arial" w:cs="Arial"/>
          <w:bCs/>
          <w:sz w:val="18"/>
          <w:szCs w:val="18"/>
        </w:rPr>
        <w:t>hCG</w:t>
      </w:r>
      <w:proofErr w:type="spellEnd"/>
      <w:r>
        <w:rPr>
          <w:rFonts w:ascii="Arial" w:hAnsi="Arial" w:cs="Arial"/>
          <w:bCs/>
          <w:sz w:val="18"/>
          <w:szCs w:val="18"/>
        </w:rPr>
        <w:t xml:space="preserve"> in </w:t>
      </w:r>
      <w:proofErr w:type="spellStart"/>
      <w:r>
        <w:rPr>
          <w:rFonts w:ascii="Arial" w:hAnsi="Arial" w:cs="Arial"/>
          <w:bCs/>
          <w:sz w:val="18"/>
          <w:szCs w:val="18"/>
        </w:rPr>
        <w:t>mIU</w:t>
      </w:r>
      <w:proofErr w:type="spellEnd"/>
      <w:r>
        <w:rPr>
          <w:rFonts w:ascii="Arial" w:hAnsi="Arial" w:cs="Arial"/>
          <w:bCs/>
          <w:sz w:val="18"/>
          <w:szCs w:val="18"/>
        </w:rPr>
        <w:t xml:space="preserve">/ml from the standard curve. Any diluted specimens must be corrected by the appropriate dilution factor. </w:t>
      </w:r>
    </w:p>
    <w:p w14:paraId="0FD37BA6" w14:textId="77777777" w:rsidR="00502F3A" w:rsidRDefault="00502F3A">
      <w:pPr>
        <w:tabs>
          <w:tab w:val="left" w:pos="360"/>
        </w:tabs>
        <w:jc w:val="both"/>
        <w:rPr>
          <w:rFonts w:ascii="Arial" w:hAnsi="Arial" w:cs="Arial"/>
          <w:bCs/>
          <w:sz w:val="18"/>
          <w:szCs w:val="18"/>
        </w:rPr>
      </w:pPr>
    </w:p>
    <w:p w14:paraId="3F3B3CB6" w14:textId="77777777" w:rsidR="00502F3A" w:rsidRDefault="00000000">
      <w:pPr>
        <w:tabs>
          <w:tab w:val="left" w:pos="360"/>
        </w:tabs>
        <w:jc w:val="both"/>
        <w:rPr>
          <w:rFonts w:ascii="Arial" w:hAnsi="Arial" w:cs="Arial"/>
          <w:bCs/>
          <w:sz w:val="18"/>
          <w:szCs w:val="18"/>
        </w:rPr>
      </w:pPr>
      <w:r>
        <w:rPr>
          <w:rFonts w:ascii="Arial" w:hAnsi="Arial" w:cs="Arial"/>
          <w:bCs/>
          <w:sz w:val="18"/>
          <w:szCs w:val="18"/>
        </w:rPr>
        <w:t xml:space="preserve">Example of Standard curve </w:t>
      </w:r>
    </w:p>
    <w:p w14:paraId="5E94EECD" w14:textId="77777777" w:rsidR="00502F3A" w:rsidRDefault="00000000">
      <w:pPr>
        <w:tabs>
          <w:tab w:val="left" w:pos="360"/>
        </w:tabs>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β-</w:t>
      </w:r>
      <w:proofErr w:type="spellStart"/>
      <w:r>
        <w:rPr>
          <w:rFonts w:ascii="Arial" w:hAnsi="Arial" w:cs="Arial"/>
          <w:bCs/>
          <w:sz w:val="18"/>
          <w:szCs w:val="18"/>
        </w:rPr>
        <w:t>hCG</w:t>
      </w:r>
      <w:proofErr w:type="spellEnd"/>
      <w:r>
        <w:rPr>
          <w:rFonts w:ascii="Arial" w:hAnsi="Arial" w:cs="Arial"/>
          <w:bCs/>
          <w:sz w:val="18"/>
          <w:szCs w:val="18"/>
        </w:rPr>
        <w:t xml:space="preserve"> concentrations shown in the X axis. </w:t>
      </w:r>
    </w:p>
    <w:p w14:paraId="129A22C4" w14:textId="44B9258C" w:rsidR="00502F3A" w:rsidRDefault="00000000">
      <w:pPr>
        <w:tabs>
          <w:tab w:val="left" w:pos="360"/>
        </w:tabs>
        <w:jc w:val="both"/>
        <w:rPr>
          <w:rFonts w:ascii="Arial" w:hAnsi="Arial" w:cs="Arial"/>
          <w:bCs/>
          <w:sz w:val="18"/>
          <w:szCs w:val="18"/>
        </w:rPr>
      </w:pPr>
      <w:r>
        <w:rPr>
          <w:rFonts w:ascii="Arial" w:hAnsi="Arial" w:cs="Arial"/>
          <w:bCs/>
          <w:sz w:val="18"/>
          <w:szCs w:val="18"/>
        </w:rPr>
        <w:t>Suggest: Use 4-Parameter Standard curve to calculate sample values.</w:t>
      </w:r>
      <w:r w:rsidR="00101D45">
        <w:rPr>
          <w:rFonts w:ascii="Arial" w:hAnsi="Arial" w:cs="Arial"/>
          <w:bCs/>
          <w:sz w:val="18"/>
          <w:szCs w:val="18"/>
        </w:rPr>
        <w:t xml:space="preserve"> </w:t>
      </w:r>
    </w:p>
    <w:p w14:paraId="3F1F789A" w14:textId="77777777" w:rsidR="00101D45" w:rsidRDefault="00101D45">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915"/>
        <w:gridCol w:w="1915"/>
      </w:tblGrid>
      <w:tr w:rsidR="00502F3A" w14:paraId="2FD87CBE" w14:textId="77777777">
        <w:tc>
          <w:tcPr>
            <w:tcW w:w="1915" w:type="dxa"/>
          </w:tcPr>
          <w:p w14:paraId="3E346915"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Total</w:t>
            </w:r>
            <w:r>
              <w:rPr>
                <w:rFonts w:ascii="Arial" w:hAnsi="Arial" w:cs="Arial"/>
                <w:bCs/>
                <w:sz w:val="18"/>
                <w:szCs w:val="18"/>
                <w:lang w:val="en-GB"/>
              </w:rPr>
              <w:t xml:space="preserve"> </w:t>
            </w:r>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w:t>
            </w:r>
            <w:proofErr w:type="spellStart"/>
            <w:r>
              <w:rPr>
                <w:rFonts w:ascii="Arial" w:hAnsi="Arial" w:cs="Arial"/>
                <w:bCs/>
                <w:sz w:val="18"/>
                <w:szCs w:val="18"/>
              </w:rPr>
              <w:t>mIU</w:t>
            </w:r>
            <w:proofErr w:type="spellEnd"/>
            <w:r>
              <w:rPr>
                <w:rFonts w:ascii="Arial" w:hAnsi="Arial" w:cs="Arial"/>
                <w:bCs/>
                <w:sz w:val="18"/>
                <w:szCs w:val="18"/>
              </w:rPr>
              <w:t>/ml)</w:t>
            </w:r>
          </w:p>
        </w:tc>
        <w:tc>
          <w:tcPr>
            <w:tcW w:w="1915" w:type="dxa"/>
          </w:tcPr>
          <w:p w14:paraId="7BB02716" w14:textId="77777777" w:rsidR="00502F3A" w:rsidRDefault="00000000">
            <w:pPr>
              <w:tabs>
                <w:tab w:val="left" w:pos="360"/>
              </w:tabs>
              <w:jc w:val="both"/>
              <w:rPr>
                <w:rFonts w:ascii="Arial" w:hAnsi="Arial" w:cs="Arial"/>
                <w:bCs/>
                <w:sz w:val="18"/>
                <w:szCs w:val="18"/>
              </w:rPr>
            </w:pPr>
            <w:r>
              <w:rPr>
                <w:rFonts w:ascii="Arial" w:hAnsi="Arial" w:cs="Arial"/>
                <w:bCs/>
                <w:sz w:val="18"/>
                <w:szCs w:val="18"/>
              </w:rPr>
              <w:t xml:space="preserve">Absorbance (450nm) </w:t>
            </w:r>
          </w:p>
        </w:tc>
      </w:tr>
      <w:tr w:rsidR="00502F3A" w14:paraId="5B123879" w14:textId="77777777">
        <w:tc>
          <w:tcPr>
            <w:tcW w:w="1915" w:type="dxa"/>
          </w:tcPr>
          <w:p w14:paraId="1F364158"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A</w:t>
            </w:r>
          </w:p>
        </w:tc>
        <w:tc>
          <w:tcPr>
            <w:tcW w:w="1915" w:type="dxa"/>
          </w:tcPr>
          <w:p w14:paraId="7F7588E8"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0.046</w:t>
            </w:r>
          </w:p>
        </w:tc>
      </w:tr>
      <w:tr w:rsidR="00502F3A" w14:paraId="4875845B" w14:textId="77777777">
        <w:tc>
          <w:tcPr>
            <w:tcW w:w="1915" w:type="dxa"/>
          </w:tcPr>
          <w:p w14:paraId="650D4E19"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B</w:t>
            </w:r>
          </w:p>
        </w:tc>
        <w:tc>
          <w:tcPr>
            <w:tcW w:w="1915" w:type="dxa"/>
          </w:tcPr>
          <w:p w14:paraId="4A7A149C"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0.132</w:t>
            </w:r>
          </w:p>
        </w:tc>
      </w:tr>
      <w:tr w:rsidR="00502F3A" w14:paraId="76887BF9" w14:textId="77777777">
        <w:tc>
          <w:tcPr>
            <w:tcW w:w="1915" w:type="dxa"/>
          </w:tcPr>
          <w:p w14:paraId="5F636F2C"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C</w:t>
            </w:r>
          </w:p>
        </w:tc>
        <w:tc>
          <w:tcPr>
            <w:tcW w:w="1915" w:type="dxa"/>
          </w:tcPr>
          <w:p w14:paraId="04ACDC34"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0.256</w:t>
            </w:r>
          </w:p>
        </w:tc>
      </w:tr>
      <w:tr w:rsidR="00502F3A" w14:paraId="547B3F08" w14:textId="77777777">
        <w:tc>
          <w:tcPr>
            <w:tcW w:w="1915" w:type="dxa"/>
          </w:tcPr>
          <w:p w14:paraId="6D08EB6D"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D</w:t>
            </w:r>
          </w:p>
        </w:tc>
        <w:tc>
          <w:tcPr>
            <w:tcW w:w="1915" w:type="dxa"/>
          </w:tcPr>
          <w:p w14:paraId="0A3CAB10"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0.593</w:t>
            </w:r>
          </w:p>
        </w:tc>
      </w:tr>
      <w:tr w:rsidR="00502F3A" w14:paraId="4661574B" w14:textId="77777777">
        <w:tc>
          <w:tcPr>
            <w:tcW w:w="1915" w:type="dxa"/>
          </w:tcPr>
          <w:p w14:paraId="172DF4EB"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E</w:t>
            </w:r>
          </w:p>
        </w:tc>
        <w:tc>
          <w:tcPr>
            <w:tcW w:w="1915" w:type="dxa"/>
          </w:tcPr>
          <w:p w14:paraId="59199B22"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1.414</w:t>
            </w:r>
          </w:p>
        </w:tc>
      </w:tr>
      <w:tr w:rsidR="00502F3A" w14:paraId="05553561" w14:textId="77777777">
        <w:tc>
          <w:tcPr>
            <w:tcW w:w="1915" w:type="dxa"/>
          </w:tcPr>
          <w:p w14:paraId="1F5EC053"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F</w:t>
            </w:r>
          </w:p>
        </w:tc>
        <w:tc>
          <w:tcPr>
            <w:tcW w:w="1915" w:type="dxa"/>
          </w:tcPr>
          <w:p w14:paraId="1104EF18"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2.015</w:t>
            </w:r>
          </w:p>
        </w:tc>
      </w:tr>
    </w:tbl>
    <w:p w14:paraId="30ED6C8F" w14:textId="77777777" w:rsidR="00502F3A" w:rsidRDefault="00000000">
      <w:pPr>
        <w:tabs>
          <w:tab w:val="left" w:pos="360"/>
        </w:tabs>
        <w:jc w:val="both"/>
        <w:rPr>
          <w:rFonts w:ascii="Arial" w:hAnsi="Arial" w:cs="Arial"/>
          <w:bCs/>
          <w:sz w:val="18"/>
          <w:szCs w:val="18"/>
        </w:rPr>
      </w:pPr>
      <w:r>
        <w:object w:dxaOrig="4198" w:dyaOrig="2939" w14:anchorId="62F429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9pt;height:146.95pt" o:ole="">
            <v:imagedata r:id="rId8" o:title=""/>
          </v:shape>
          <o:OLEObject Type="Embed" ProgID="CorelDraw.Graphic.23" ShapeID="_x0000_i1025" DrawAspect="Content" ObjectID="_1789805926" r:id="rId9"/>
        </w:object>
      </w:r>
    </w:p>
    <w:p w14:paraId="1F6A64C5" w14:textId="77777777" w:rsidR="00502F3A" w:rsidRDefault="00502F3A">
      <w:pPr>
        <w:tabs>
          <w:tab w:val="left" w:pos="360"/>
        </w:tabs>
        <w:jc w:val="both"/>
        <w:rPr>
          <w:rFonts w:ascii="Arial" w:hAnsi="Arial" w:cs="Arial"/>
          <w:bCs/>
          <w:sz w:val="18"/>
          <w:szCs w:val="18"/>
        </w:rPr>
      </w:pPr>
    </w:p>
    <w:p w14:paraId="4FA8A398" w14:textId="77777777" w:rsidR="00502F3A" w:rsidRDefault="00502F3A">
      <w:pPr>
        <w:tabs>
          <w:tab w:val="left" w:pos="360"/>
        </w:tabs>
        <w:jc w:val="both"/>
        <w:rPr>
          <w:rFonts w:ascii="Arial" w:hAnsi="Arial" w:cs="Arial"/>
          <w:bCs/>
          <w:sz w:val="18"/>
          <w:szCs w:val="18"/>
        </w:rPr>
      </w:pPr>
    </w:p>
    <w:p w14:paraId="1398E9BE" w14:textId="77777777" w:rsidR="00502F3A" w:rsidRDefault="00000000">
      <w:pPr>
        <w:tabs>
          <w:tab w:val="left" w:pos="360"/>
        </w:tabs>
        <w:ind w:left="720"/>
        <w:jc w:val="both"/>
        <w:rPr>
          <w:rFonts w:ascii="Arial" w:hAnsi="Arial" w:cs="Arial"/>
          <w:bCs/>
          <w:sz w:val="18"/>
          <w:szCs w:val="18"/>
        </w:rPr>
      </w:pPr>
      <w:r>
        <w:rPr>
          <w:rFonts w:ascii="Arial" w:hAnsi="Arial" w:cs="Arial"/>
          <w:bCs/>
          <w:sz w:val="18"/>
          <w:szCs w:val="18"/>
        </w:rPr>
        <w:t xml:space="preserve">This standard curve is for the purpose of illustration only and should not be used to calculate samples. Each user should obtain his or her own standard curve and data. </w:t>
      </w:r>
    </w:p>
    <w:p w14:paraId="6C4BEA99" w14:textId="77777777" w:rsidR="00502F3A" w:rsidRDefault="00502F3A">
      <w:pPr>
        <w:tabs>
          <w:tab w:val="left" w:pos="360"/>
        </w:tabs>
        <w:ind w:left="720"/>
        <w:jc w:val="both"/>
        <w:rPr>
          <w:rFonts w:ascii="Arial" w:hAnsi="Arial" w:cs="Arial"/>
          <w:bCs/>
          <w:sz w:val="18"/>
          <w:szCs w:val="18"/>
        </w:rPr>
      </w:pPr>
    </w:p>
    <w:p w14:paraId="3773E1D9" w14:textId="77777777" w:rsidR="00502F3A" w:rsidRDefault="00000000">
      <w:pPr>
        <w:tabs>
          <w:tab w:val="left" w:pos="360"/>
        </w:tabs>
        <w:ind w:left="720"/>
        <w:jc w:val="both"/>
        <w:rPr>
          <w:rFonts w:ascii="Arial" w:hAnsi="Arial" w:cs="Arial"/>
          <w:bCs/>
          <w:sz w:val="18"/>
          <w:szCs w:val="18"/>
        </w:rPr>
      </w:pPr>
      <w:r>
        <w:rPr>
          <w:rFonts w:ascii="Arial" w:hAnsi="Arial" w:cs="Arial"/>
          <w:bCs/>
          <w:sz w:val="18"/>
          <w:szCs w:val="18"/>
        </w:rPr>
        <w:t xml:space="preserve">Expected values and sensitivity </w:t>
      </w:r>
    </w:p>
    <w:p w14:paraId="73AC1BD1" w14:textId="77777777" w:rsidR="00502F3A" w:rsidRDefault="00000000">
      <w:pPr>
        <w:tabs>
          <w:tab w:val="left" w:pos="360"/>
        </w:tabs>
        <w:ind w:left="720"/>
        <w:jc w:val="both"/>
        <w:rPr>
          <w:rFonts w:ascii="Arial" w:hAnsi="Arial" w:cs="Arial"/>
          <w:bCs/>
          <w:sz w:val="18"/>
          <w:szCs w:val="18"/>
        </w:rPr>
      </w:pPr>
      <w:r>
        <w:rPr>
          <w:rFonts w:ascii="Arial" w:hAnsi="Arial" w:cs="Arial"/>
          <w:bCs/>
          <w:sz w:val="18"/>
          <w:szCs w:val="18"/>
        </w:rPr>
        <w:t xml:space="preserve">Each laboratory must establish its own normal ranges based on patient population. </w:t>
      </w:r>
      <w:proofErr w:type="spellStart"/>
      <w:r>
        <w:rPr>
          <w:rFonts w:ascii="Arial" w:hAnsi="Arial" w:cs="Arial"/>
          <w:bCs/>
          <w:sz w:val="18"/>
          <w:szCs w:val="18"/>
        </w:rPr>
        <w:t>hCG</w:t>
      </w:r>
      <w:proofErr w:type="spellEnd"/>
      <w:r>
        <w:rPr>
          <w:rFonts w:ascii="Arial" w:hAnsi="Arial" w:cs="Arial"/>
          <w:bCs/>
          <w:sz w:val="18"/>
          <w:szCs w:val="18"/>
        </w:rPr>
        <w:t xml:space="preserve"> is not normally detected in the serum of healthy men or healthy non-pregnant women. The concentration of </w:t>
      </w:r>
      <w:proofErr w:type="spellStart"/>
      <w:r>
        <w:rPr>
          <w:rFonts w:ascii="Arial" w:hAnsi="Arial" w:cs="Arial"/>
          <w:bCs/>
          <w:sz w:val="18"/>
          <w:szCs w:val="18"/>
        </w:rPr>
        <w:t>hCG</w:t>
      </w:r>
      <w:proofErr w:type="spellEnd"/>
      <w:r>
        <w:rPr>
          <w:rFonts w:ascii="Arial" w:hAnsi="Arial" w:cs="Arial"/>
          <w:bCs/>
          <w:sz w:val="18"/>
          <w:szCs w:val="18"/>
        </w:rPr>
        <w:t xml:space="preserve"> in the serum of pregnant women increases to 5-50 </w:t>
      </w:r>
      <w:proofErr w:type="spellStart"/>
      <w:r>
        <w:rPr>
          <w:rFonts w:ascii="Arial" w:hAnsi="Arial" w:cs="Arial"/>
          <w:bCs/>
          <w:sz w:val="18"/>
          <w:szCs w:val="18"/>
        </w:rPr>
        <w:t>mIU</w:t>
      </w:r>
      <w:proofErr w:type="spellEnd"/>
      <w:r>
        <w:rPr>
          <w:rFonts w:ascii="Arial" w:hAnsi="Arial" w:cs="Arial"/>
          <w:bCs/>
          <w:sz w:val="18"/>
          <w:szCs w:val="18"/>
        </w:rPr>
        <w:t xml:space="preserve">/ml one week after implantation and continues increasing exponentially during the first ten weeks, reaching a maximum of 100,000-200,000 </w:t>
      </w:r>
      <w:proofErr w:type="spellStart"/>
      <w:r>
        <w:rPr>
          <w:rFonts w:ascii="Arial" w:hAnsi="Arial" w:cs="Arial"/>
          <w:bCs/>
          <w:sz w:val="18"/>
          <w:szCs w:val="18"/>
        </w:rPr>
        <w:t>mIU</w:t>
      </w:r>
      <w:proofErr w:type="spellEnd"/>
      <w:r>
        <w:rPr>
          <w:rFonts w:ascii="Arial" w:hAnsi="Arial" w:cs="Arial"/>
          <w:bCs/>
          <w:sz w:val="18"/>
          <w:szCs w:val="18"/>
        </w:rPr>
        <w:t xml:space="preserve">/ml at the end of the first trimester. The minimum detectable concentration of </w:t>
      </w:r>
      <w:proofErr w:type="spellStart"/>
      <w:r>
        <w:rPr>
          <w:rFonts w:ascii="Arial" w:hAnsi="Arial" w:cs="Arial"/>
          <w:bCs/>
          <w:sz w:val="18"/>
          <w:szCs w:val="18"/>
        </w:rPr>
        <w:t>hCG</w:t>
      </w:r>
      <w:proofErr w:type="spellEnd"/>
      <w:r>
        <w:rPr>
          <w:rFonts w:ascii="Arial" w:hAnsi="Arial" w:cs="Arial"/>
          <w:bCs/>
          <w:sz w:val="18"/>
          <w:szCs w:val="18"/>
        </w:rPr>
        <w:t xml:space="preserve"> by this assay is estimated to be 2.0 </w:t>
      </w:r>
      <w:proofErr w:type="spellStart"/>
      <w:r>
        <w:rPr>
          <w:rFonts w:ascii="Arial" w:hAnsi="Arial" w:cs="Arial"/>
          <w:bCs/>
          <w:sz w:val="18"/>
          <w:szCs w:val="18"/>
        </w:rPr>
        <w:t>mIU</w:t>
      </w:r>
      <w:proofErr w:type="spellEnd"/>
      <w:r>
        <w:rPr>
          <w:rFonts w:ascii="Arial" w:hAnsi="Arial" w:cs="Arial"/>
          <w:bCs/>
          <w:sz w:val="18"/>
          <w:szCs w:val="18"/>
        </w:rPr>
        <w:t xml:space="preserve">/ml. </w:t>
      </w:r>
    </w:p>
    <w:p w14:paraId="2CB426E6" w14:textId="77777777" w:rsidR="00502F3A" w:rsidRDefault="00502F3A">
      <w:pPr>
        <w:tabs>
          <w:tab w:val="left" w:pos="360"/>
        </w:tabs>
        <w:ind w:left="720"/>
        <w:jc w:val="both"/>
        <w:rPr>
          <w:rFonts w:ascii="Arial" w:hAnsi="Arial" w:cs="Arial"/>
          <w:bCs/>
          <w:sz w:val="18"/>
          <w:szCs w:val="18"/>
        </w:rPr>
      </w:pPr>
    </w:p>
    <w:p w14:paraId="164516B4" w14:textId="77777777" w:rsidR="00502F3A" w:rsidRDefault="00000000">
      <w:pPr>
        <w:tabs>
          <w:tab w:val="left" w:pos="360"/>
        </w:tabs>
        <w:ind w:left="720"/>
        <w:jc w:val="both"/>
        <w:rPr>
          <w:rFonts w:ascii="Arial" w:hAnsi="Arial" w:cs="Arial"/>
          <w:bCs/>
          <w:sz w:val="18"/>
          <w:szCs w:val="18"/>
        </w:rPr>
      </w:pPr>
      <w:r>
        <w:rPr>
          <w:rFonts w:ascii="Arial" w:hAnsi="Arial" w:cs="Arial"/>
          <w:bCs/>
          <w:sz w:val="18"/>
          <w:szCs w:val="18"/>
        </w:rPr>
        <w:t>PERFORMANCE CHARACTERISTICS</w:t>
      </w:r>
    </w:p>
    <w:p w14:paraId="7384C65D" w14:textId="77777777" w:rsidR="00502F3A"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 xml:space="preserve">Internal Evaluation: </w:t>
      </w:r>
    </w:p>
    <w:p w14:paraId="47BAC8DC" w14:textId="77777777" w:rsidR="00502F3A" w:rsidRDefault="00000000">
      <w:pPr>
        <w:pStyle w:val="ListParagraph"/>
        <w:numPr>
          <w:ilvl w:val="0"/>
          <w:numId w:val="8"/>
        </w:numPr>
        <w:tabs>
          <w:tab w:val="clear" w:pos="425"/>
          <w:tab w:val="left" w:pos="360"/>
        </w:tabs>
        <w:ind w:leftChars="391" w:left="1142" w:hangingChars="200" w:hanging="360"/>
        <w:jc w:val="both"/>
        <w:rPr>
          <w:rFonts w:ascii="Arial" w:hAnsi="Arial" w:cs="Arial"/>
          <w:bCs/>
          <w:sz w:val="18"/>
          <w:szCs w:val="18"/>
        </w:rPr>
      </w:pPr>
      <w:r>
        <w:rPr>
          <w:rFonts w:ascii="Arial" w:hAnsi="Arial" w:cs="Arial"/>
          <w:bCs/>
          <w:sz w:val="18"/>
          <w:szCs w:val="18"/>
        </w:rPr>
        <w:t>Accuracy: In an internal study β-</w:t>
      </w:r>
      <w:proofErr w:type="spellStart"/>
      <w:r>
        <w:rPr>
          <w:rFonts w:ascii="Arial" w:hAnsi="Arial" w:cs="Arial"/>
          <w:bCs/>
          <w:sz w:val="18"/>
          <w:szCs w:val="18"/>
        </w:rPr>
        <w:t>hCG</w:t>
      </w:r>
      <w:proofErr w:type="spellEnd"/>
      <w:r>
        <w:rPr>
          <w:rFonts w:ascii="Arial" w:hAnsi="Arial" w:cs="Arial"/>
          <w:bCs/>
          <w:sz w:val="18"/>
          <w:szCs w:val="18"/>
        </w:rPr>
        <w:t xml:space="preserve"> was evaluated against commercially available licensed kit with 90 random clinical samples &amp; β-</w:t>
      </w:r>
      <w:proofErr w:type="spellStart"/>
      <w:r>
        <w:rPr>
          <w:rFonts w:ascii="Arial" w:hAnsi="Arial" w:cs="Arial"/>
          <w:bCs/>
          <w:sz w:val="18"/>
          <w:szCs w:val="18"/>
        </w:rPr>
        <w:t>hCG</w:t>
      </w:r>
      <w:proofErr w:type="spellEnd"/>
      <w:r>
        <w:rPr>
          <w:rFonts w:ascii="Arial" w:hAnsi="Arial" w:cs="Arial"/>
          <w:bCs/>
          <w:sz w:val="18"/>
          <w:szCs w:val="18"/>
        </w:rPr>
        <w:t xml:space="preserve"> has demonstrated 100 % clinical correlation with the commercially available licensed kit. </w:t>
      </w:r>
    </w:p>
    <w:p w14:paraId="63B86920" w14:textId="77777777" w:rsidR="00502F3A" w:rsidRDefault="00000000">
      <w:pPr>
        <w:pStyle w:val="ListParagraph"/>
        <w:numPr>
          <w:ilvl w:val="0"/>
          <w:numId w:val="8"/>
        </w:numPr>
        <w:tabs>
          <w:tab w:val="clear" w:pos="425"/>
          <w:tab w:val="left" w:pos="360"/>
        </w:tabs>
        <w:ind w:left="1141" w:hanging="414"/>
        <w:jc w:val="both"/>
        <w:rPr>
          <w:rFonts w:ascii="Arial" w:hAnsi="Arial" w:cs="Arial"/>
          <w:bCs/>
          <w:sz w:val="18"/>
          <w:szCs w:val="18"/>
        </w:rPr>
      </w:pPr>
      <w:r>
        <w:rPr>
          <w:rFonts w:ascii="Arial" w:hAnsi="Arial" w:cs="Arial"/>
          <w:bCs/>
          <w:sz w:val="18"/>
          <w:szCs w:val="18"/>
        </w:rPr>
        <w:t>Precision: β-</w:t>
      </w:r>
      <w:proofErr w:type="spellStart"/>
      <w:r>
        <w:rPr>
          <w:rFonts w:ascii="Arial" w:hAnsi="Arial" w:cs="Arial"/>
          <w:bCs/>
          <w:sz w:val="18"/>
          <w:szCs w:val="18"/>
        </w:rPr>
        <w:t>hCG</w:t>
      </w:r>
      <w:proofErr w:type="spellEnd"/>
      <w:r>
        <w:rPr>
          <w:rFonts w:ascii="Arial" w:hAnsi="Arial" w:cs="Arial"/>
          <w:bCs/>
          <w:sz w:val="18"/>
          <w:szCs w:val="18"/>
        </w:rPr>
        <w:t xml:space="preserve"> was evaluated with licensed external Quality controls for Precision Studies &amp; following is the data</w:t>
      </w:r>
      <w:r>
        <w:rPr>
          <w:rFonts w:ascii="Arial" w:hAnsi="Arial" w:cs="Arial"/>
          <w:bCs/>
          <w:sz w:val="18"/>
          <w:szCs w:val="18"/>
          <w:lang w:val="en-GB"/>
        </w:rPr>
        <w:t>:</w:t>
      </w:r>
    </w:p>
    <w:p w14:paraId="34A5DC39" w14:textId="77777777" w:rsidR="00502F3A" w:rsidRDefault="00502F3A">
      <w:pPr>
        <w:tabs>
          <w:tab w:val="left" w:pos="360"/>
        </w:tabs>
        <w:jc w:val="both"/>
        <w:rPr>
          <w:rFonts w:ascii="Arial" w:hAnsi="Arial" w:cs="Arial"/>
          <w:bCs/>
          <w:sz w:val="18"/>
          <w:szCs w:val="18"/>
        </w:rPr>
      </w:pPr>
    </w:p>
    <w:p w14:paraId="59FE4A40" w14:textId="77777777" w:rsidR="00502F3A" w:rsidRDefault="00502F3A">
      <w:pPr>
        <w:tabs>
          <w:tab w:val="left" w:pos="360"/>
        </w:tabs>
        <w:jc w:val="both"/>
        <w:rPr>
          <w:rFonts w:ascii="Arial" w:hAnsi="Arial" w:cs="Arial"/>
          <w:bCs/>
          <w:sz w:val="18"/>
          <w:szCs w:val="18"/>
        </w:rPr>
      </w:pPr>
    </w:p>
    <w:p w14:paraId="0B736766" w14:textId="77777777" w:rsidR="00502F3A" w:rsidRDefault="00502F3A">
      <w:pPr>
        <w:tabs>
          <w:tab w:val="left" w:pos="360"/>
        </w:tabs>
        <w:jc w:val="both"/>
        <w:rPr>
          <w:rFonts w:ascii="Arial" w:hAnsi="Arial" w:cs="Arial"/>
          <w:bCs/>
          <w:sz w:val="18"/>
          <w:szCs w:val="18"/>
        </w:rPr>
      </w:pPr>
    </w:p>
    <w:p w14:paraId="655267FA" w14:textId="77777777" w:rsidR="00502F3A" w:rsidRDefault="00502F3A">
      <w:pPr>
        <w:tabs>
          <w:tab w:val="left" w:pos="360"/>
        </w:tabs>
        <w:jc w:val="both"/>
        <w:rPr>
          <w:rFonts w:ascii="Arial" w:hAnsi="Arial" w:cs="Arial"/>
          <w:bCs/>
          <w:sz w:val="18"/>
          <w:szCs w:val="18"/>
        </w:rPr>
      </w:pPr>
    </w:p>
    <w:p w14:paraId="256BDD4E" w14:textId="77777777" w:rsidR="00502F3A" w:rsidRDefault="00502F3A">
      <w:pPr>
        <w:tabs>
          <w:tab w:val="left" w:pos="360"/>
        </w:tabs>
        <w:ind w:left="765"/>
        <w:jc w:val="both"/>
        <w:rPr>
          <w:rFonts w:ascii="Arial" w:hAnsi="Arial" w:cs="Arial"/>
          <w:bCs/>
          <w:sz w:val="18"/>
          <w:szCs w:val="18"/>
        </w:rPr>
      </w:pPr>
    </w:p>
    <w:tbl>
      <w:tblPr>
        <w:tblStyle w:val="TableGrid"/>
        <w:tblW w:w="3873" w:type="dxa"/>
        <w:tblInd w:w="-5" w:type="dxa"/>
        <w:tblLook w:val="04A0" w:firstRow="1" w:lastRow="0" w:firstColumn="1" w:lastColumn="0" w:noHBand="0" w:noVBand="1"/>
      </w:tblPr>
      <w:tblGrid>
        <w:gridCol w:w="887"/>
        <w:gridCol w:w="837"/>
        <w:gridCol w:w="870"/>
        <w:gridCol w:w="1279"/>
      </w:tblGrid>
      <w:tr w:rsidR="00502F3A" w14:paraId="544A1AFE" w14:textId="77777777" w:rsidTr="00101D45">
        <w:trPr>
          <w:trHeight w:val="1040"/>
        </w:trPr>
        <w:tc>
          <w:tcPr>
            <w:tcW w:w="800" w:type="dxa"/>
          </w:tcPr>
          <w:p w14:paraId="3615BA00" w14:textId="77777777" w:rsidR="00502F3A" w:rsidRDefault="00000000">
            <w:pPr>
              <w:tabs>
                <w:tab w:val="left" w:pos="360"/>
              </w:tabs>
              <w:jc w:val="both"/>
              <w:rPr>
                <w:rFonts w:ascii="Arial" w:hAnsi="Arial" w:cs="Arial"/>
                <w:bCs/>
                <w:sz w:val="18"/>
                <w:szCs w:val="18"/>
              </w:rPr>
            </w:pPr>
            <w:r>
              <w:rPr>
                <w:rFonts w:ascii="Arial" w:hAnsi="Arial" w:cs="Arial"/>
                <w:bCs/>
                <w:sz w:val="18"/>
                <w:szCs w:val="18"/>
              </w:rPr>
              <w:t>Controls</w:t>
            </w:r>
          </w:p>
        </w:tc>
        <w:tc>
          <w:tcPr>
            <w:tcW w:w="755" w:type="dxa"/>
          </w:tcPr>
          <w:p w14:paraId="7A8D6278" w14:textId="77777777" w:rsidR="00502F3A" w:rsidRDefault="00000000">
            <w:pPr>
              <w:tabs>
                <w:tab w:val="left" w:pos="360"/>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913" w:type="dxa"/>
          </w:tcPr>
          <w:p w14:paraId="1D0798F2" w14:textId="77777777" w:rsidR="00502F3A" w:rsidRDefault="00000000">
            <w:pPr>
              <w:tabs>
                <w:tab w:val="left" w:pos="360"/>
              </w:tabs>
              <w:jc w:val="both"/>
              <w:rPr>
                <w:rFonts w:ascii="Arial" w:hAnsi="Arial" w:cs="Arial"/>
                <w:bCs/>
                <w:sz w:val="18"/>
                <w:szCs w:val="18"/>
              </w:rPr>
            </w:pPr>
            <w:r>
              <w:rPr>
                <w:rFonts w:ascii="Arial" w:hAnsi="Arial" w:cs="Arial"/>
                <w:bCs/>
                <w:sz w:val="18"/>
                <w:szCs w:val="18"/>
              </w:rPr>
              <w:t xml:space="preserve">Mean Control values with </w:t>
            </w:r>
            <w:r>
              <w:rPr>
                <w:rFonts w:ascii="Arial" w:hAnsi="Arial" w:cs="Arial"/>
                <w:b/>
                <w:sz w:val="18"/>
                <w:szCs w:val="18"/>
              </w:rPr>
              <w:t>β-</w:t>
            </w:r>
            <w:proofErr w:type="spellStart"/>
            <w:r>
              <w:rPr>
                <w:rFonts w:ascii="Arial" w:hAnsi="Arial" w:cs="Arial"/>
                <w:b/>
                <w:sz w:val="18"/>
                <w:szCs w:val="18"/>
              </w:rPr>
              <w:t>hCG</w:t>
            </w:r>
            <w:proofErr w:type="spellEnd"/>
          </w:p>
        </w:tc>
        <w:tc>
          <w:tcPr>
            <w:tcW w:w="1405" w:type="dxa"/>
          </w:tcPr>
          <w:p w14:paraId="47833F6D" w14:textId="77777777" w:rsidR="00502F3A" w:rsidRDefault="00000000">
            <w:pPr>
              <w:tabs>
                <w:tab w:val="left" w:pos="360"/>
              </w:tabs>
              <w:jc w:val="both"/>
              <w:rPr>
                <w:rFonts w:ascii="Arial" w:hAnsi="Arial" w:cs="Arial"/>
                <w:bCs/>
                <w:sz w:val="18"/>
                <w:szCs w:val="18"/>
              </w:rPr>
            </w:pPr>
            <w:r>
              <w:rPr>
                <w:rFonts w:ascii="Arial" w:hAnsi="Arial" w:cs="Arial"/>
                <w:bCs/>
                <w:sz w:val="18"/>
                <w:szCs w:val="18"/>
              </w:rPr>
              <w:t>Coefficient of Variation</w:t>
            </w:r>
            <w:r>
              <w:rPr>
                <w:rFonts w:ascii="Arial" w:hAnsi="Arial" w:cs="Arial"/>
                <w:bCs/>
                <w:sz w:val="18"/>
                <w:szCs w:val="18"/>
              </w:rPr>
              <w:tab/>
              <w:t xml:space="preserve"> (CV)</w:t>
            </w:r>
          </w:p>
          <w:p w14:paraId="11250554" w14:textId="77777777" w:rsidR="00502F3A" w:rsidRDefault="00502F3A">
            <w:pPr>
              <w:tabs>
                <w:tab w:val="left" w:pos="360"/>
              </w:tabs>
              <w:jc w:val="center"/>
              <w:rPr>
                <w:rFonts w:ascii="Arial" w:hAnsi="Arial" w:cs="Arial"/>
                <w:bCs/>
                <w:sz w:val="18"/>
                <w:szCs w:val="18"/>
              </w:rPr>
            </w:pPr>
          </w:p>
        </w:tc>
      </w:tr>
      <w:tr w:rsidR="00502F3A" w14:paraId="286D7A28" w14:textId="77777777" w:rsidTr="00101D45">
        <w:trPr>
          <w:trHeight w:val="182"/>
        </w:trPr>
        <w:tc>
          <w:tcPr>
            <w:tcW w:w="800" w:type="dxa"/>
          </w:tcPr>
          <w:p w14:paraId="39FA53F2" w14:textId="77777777" w:rsidR="00502F3A" w:rsidRDefault="00000000">
            <w:pPr>
              <w:tabs>
                <w:tab w:val="left" w:pos="360"/>
              </w:tabs>
              <w:jc w:val="both"/>
              <w:rPr>
                <w:rFonts w:ascii="Arial" w:hAnsi="Arial" w:cs="Arial"/>
                <w:bCs/>
                <w:sz w:val="18"/>
                <w:szCs w:val="18"/>
              </w:rPr>
            </w:pPr>
            <w:proofErr w:type="gramStart"/>
            <w:r>
              <w:rPr>
                <w:rFonts w:ascii="Arial" w:hAnsi="Arial" w:cs="Arial"/>
                <w:bCs/>
                <w:sz w:val="18"/>
                <w:szCs w:val="18"/>
              </w:rPr>
              <w:t>Level  1</w:t>
            </w:r>
            <w:proofErr w:type="gramEnd"/>
            <w:r>
              <w:rPr>
                <w:rFonts w:ascii="Arial" w:hAnsi="Arial" w:cs="Arial"/>
                <w:bCs/>
                <w:sz w:val="18"/>
                <w:szCs w:val="18"/>
              </w:rPr>
              <w:t xml:space="preserve"> </w:t>
            </w:r>
          </w:p>
        </w:tc>
        <w:tc>
          <w:tcPr>
            <w:tcW w:w="755" w:type="dxa"/>
          </w:tcPr>
          <w:p w14:paraId="5373444D" w14:textId="77777777" w:rsidR="00502F3A" w:rsidRDefault="00000000">
            <w:pPr>
              <w:tabs>
                <w:tab w:val="left" w:pos="360"/>
              </w:tabs>
              <w:jc w:val="both"/>
              <w:rPr>
                <w:rFonts w:ascii="Arial" w:hAnsi="Arial" w:cs="Arial"/>
                <w:bCs/>
                <w:sz w:val="18"/>
                <w:szCs w:val="18"/>
              </w:rPr>
            </w:pPr>
            <w:r>
              <w:rPr>
                <w:rFonts w:ascii="Arial" w:hAnsi="Arial" w:cs="Arial"/>
                <w:bCs/>
                <w:sz w:val="18"/>
                <w:szCs w:val="18"/>
              </w:rPr>
              <w:t>10</w:t>
            </w:r>
          </w:p>
        </w:tc>
        <w:tc>
          <w:tcPr>
            <w:tcW w:w="913" w:type="dxa"/>
          </w:tcPr>
          <w:p w14:paraId="08103291" w14:textId="77777777" w:rsidR="00502F3A" w:rsidRDefault="00000000">
            <w:pPr>
              <w:tabs>
                <w:tab w:val="left" w:pos="360"/>
              </w:tabs>
              <w:jc w:val="both"/>
              <w:rPr>
                <w:rFonts w:ascii="Arial" w:hAnsi="Arial" w:cs="Arial"/>
                <w:bCs/>
                <w:sz w:val="18"/>
                <w:szCs w:val="18"/>
              </w:rPr>
            </w:pPr>
            <w:r>
              <w:rPr>
                <w:rFonts w:ascii="Arial" w:hAnsi="Arial" w:cs="Arial"/>
                <w:bCs/>
                <w:sz w:val="18"/>
                <w:szCs w:val="18"/>
              </w:rPr>
              <w:t>1.70</w:t>
            </w:r>
          </w:p>
        </w:tc>
        <w:tc>
          <w:tcPr>
            <w:tcW w:w="1405" w:type="dxa"/>
          </w:tcPr>
          <w:p w14:paraId="70708A10"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7.25</w:t>
            </w:r>
          </w:p>
        </w:tc>
      </w:tr>
      <w:tr w:rsidR="00502F3A" w14:paraId="6CB925C0" w14:textId="77777777" w:rsidTr="00101D45">
        <w:trPr>
          <w:trHeight w:val="169"/>
        </w:trPr>
        <w:tc>
          <w:tcPr>
            <w:tcW w:w="800" w:type="dxa"/>
          </w:tcPr>
          <w:p w14:paraId="0AF40B34" w14:textId="77777777" w:rsidR="00502F3A" w:rsidRDefault="00000000">
            <w:pPr>
              <w:tabs>
                <w:tab w:val="left" w:pos="360"/>
              </w:tabs>
              <w:jc w:val="both"/>
              <w:rPr>
                <w:rFonts w:ascii="Arial" w:hAnsi="Arial" w:cs="Arial"/>
                <w:bCs/>
                <w:sz w:val="18"/>
                <w:szCs w:val="18"/>
              </w:rPr>
            </w:pPr>
            <w:proofErr w:type="gramStart"/>
            <w:r>
              <w:rPr>
                <w:rFonts w:ascii="Arial" w:hAnsi="Arial" w:cs="Arial"/>
                <w:bCs/>
                <w:sz w:val="18"/>
                <w:szCs w:val="18"/>
              </w:rPr>
              <w:t>Level  2</w:t>
            </w:r>
            <w:proofErr w:type="gramEnd"/>
          </w:p>
        </w:tc>
        <w:tc>
          <w:tcPr>
            <w:tcW w:w="755" w:type="dxa"/>
          </w:tcPr>
          <w:p w14:paraId="4F5E85FC" w14:textId="77777777" w:rsidR="00502F3A" w:rsidRDefault="00000000">
            <w:pPr>
              <w:tabs>
                <w:tab w:val="left" w:pos="360"/>
              </w:tabs>
              <w:jc w:val="both"/>
              <w:rPr>
                <w:rFonts w:ascii="Arial" w:hAnsi="Arial" w:cs="Arial"/>
                <w:bCs/>
                <w:sz w:val="18"/>
                <w:szCs w:val="18"/>
              </w:rPr>
            </w:pPr>
            <w:r>
              <w:rPr>
                <w:rFonts w:ascii="Arial" w:hAnsi="Arial" w:cs="Arial"/>
                <w:bCs/>
                <w:sz w:val="18"/>
                <w:szCs w:val="18"/>
              </w:rPr>
              <w:t>10</w:t>
            </w:r>
          </w:p>
        </w:tc>
        <w:tc>
          <w:tcPr>
            <w:tcW w:w="913" w:type="dxa"/>
          </w:tcPr>
          <w:p w14:paraId="7846E1F2" w14:textId="77777777" w:rsidR="00502F3A" w:rsidRDefault="00000000">
            <w:pPr>
              <w:tabs>
                <w:tab w:val="left" w:pos="360"/>
              </w:tabs>
              <w:jc w:val="both"/>
              <w:rPr>
                <w:rFonts w:ascii="Arial" w:hAnsi="Arial" w:cs="Arial"/>
                <w:bCs/>
                <w:sz w:val="18"/>
                <w:szCs w:val="18"/>
              </w:rPr>
            </w:pPr>
            <w:r>
              <w:rPr>
                <w:rFonts w:ascii="Arial" w:hAnsi="Arial" w:cs="Arial"/>
                <w:bCs/>
                <w:sz w:val="18"/>
                <w:szCs w:val="18"/>
              </w:rPr>
              <w:t>8.26</w:t>
            </w:r>
          </w:p>
        </w:tc>
        <w:tc>
          <w:tcPr>
            <w:tcW w:w="1405" w:type="dxa"/>
          </w:tcPr>
          <w:p w14:paraId="5256F31B"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5.72</w:t>
            </w:r>
          </w:p>
        </w:tc>
      </w:tr>
      <w:tr w:rsidR="00502F3A" w14:paraId="0240C7B4" w14:textId="77777777" w:rsidTr="00101D45">
        <w:trPr>
          <w:trHeight w:val="182"/>
        </w:trPr>
        <w:tc>
          <w:tcPr>
            <w:tcW w:w="800" w:type="dxa"/>
          </w:tcPr>
          <w:p w14:paraId="15EA39E1" w14:textId="77777777" w:rsidR="00502F3A" w:rsidRDefault="00000000">
            <w:pPr>
              <w:tabs>
                <w:tab w:val="left" w:pos="360"/>
              </w:tabs>
              <w:jc w:val="both"/>
              <w:rPr>
                <w:rFonts w:ascii="Arial" w:hAnsi="Arial" w:cs="Arial"/>
                <w:bCs/>
                <w:sz w:val="18"/>
                <w:szCs w:val="18"/>
              </w:rPr>
            </w:pPr>
            <w:proofErr w:type="gramStart"/>
            <w:r>
              <w:rPr>
                <w:rFonts w:ascii="Arial" w:hAnsi="Arial" w:cs="Arial"/>
                <w:bCs/>
                <w:sz w:val="18"/>
                <w:szCs w:val="18"/>
              </w:rPr>
              <w:t>Level  3</w:t>
            </w:r>
            <w:proofErr w:type="gramEnd"/>
          </w:p>
        </w:tc>
        <w:tc>
          <w:tcPr>
            <w:tcW w:w="755" w:type="dxa"/>
          </w:tcPr>
          <w:p w14:paraId="55BB1B6B" w14:textId="77777777" w:rsidR="00502F3A" w:rsidRDefault="00000000">
            <w:pPr>
              <w:tabs>
                <w:tab w:val="left" w:pos="360"/>
              </w:tabs>
              <w:jc w:val="both"/>
              <w:rPr>
                <w:rFonts w:ascii="Arial" w:hAnsi="Arial" w:cs="Arial"/>
                <w:bCs/>
                <w:sz w:val="18"/>
                <w:szCs w:val="18"/>
              </w:rPr>
            </w:pPr>
            <w:r>
              <w:rPr>
                <w:rFonts w:ascii="Arial" w:hAnsi="Arial" w:cs="Arial"/>
                <w:bCs/>
                <w:sz w:val="18"/>
                <w:szCs w:val="18"/>
              </w:rPr>
              <w:t>10</w:t>
            </w:r>
          </w:p>
        </w:tc>
        <w:tc>
          <w:tcPr>
            <w:tcW w:w="913" w:type="dxa"/>
          </w:tcPr>
          <w:p w14:paraId="0617B7EF" w14:textId="77777777" w:rsidR="00502F3A" w:rsidRDefault="00000000">
            <w:pPr>
              <w:tabs>
                <w:tab w:val="left" w:pos="360"/>
              </w:tabs>
              <w:jc w:val="both"/>
              <w:rPr>
                <w:rFonts w:ascii="Arial" w:hAnsi="Arial" w:cs="Arial"/>
                <w:bCs/>
                <w:sz w:val="18"/>
                <w:szCs w:val="18"/>
              </w:rPr>
            </w:pPr>
            <w:r>
              <w:rPr>
                <w:rFonts w:ascii="Arial" w:hAnsi="Arial" w:cs="Arial"/>
                <w:bCs/>
                <w:sz w:val="18"/>
                <w:szCs w:val="18"/>
              </w:rPr>
              <w:t>72.00</w:t>
            </w:r>
          </w:p>
        </w:tc>
        <w:tc>
          <w:tcPr>
            <w:tcW w:w="1405" w:type="dxa"/>
          </w:tcPr>
          <w:p w14:paraId="56F7FA0E" w14:textId="77777777" w:rsidR="00502F3A" w:rsidRDefault="00000000">
            <w:pPr>
              <w:tabs>
                <w:tab w:val="left" w:pos="360"/>
              </w:tabs>
              <w:jc w:val="center"/>
              <w:rPr>
                <w:rFonts w:ascii="Arial" w:hAnsi="Arial" w:cs="Arial"/>
                <w:bCs/>
                <w:sz w:val="18"/>
                <w:szCs w:val="18"/>
              </w:rPr>
            </w:pPr>
            <w:r>
              <w:rPr>
                <w:rFonts w:ascii="Arial" w:hAnsi="Arial" w:cs="Arial"/>
                <w:bCs/>
                <w:sz w:val="18"/>
                <w:szCs w:val="18"/>
              </w:rPr>
              <w:t>4.93</w:t>
            </w:r>
          </w:p>
        </w:tc>
      </w:tr>
    </w:tbl>
    <w:p w14:paraId="0A39E4FD" w14:textId="77777777" w:rsidR="00502F3A" w:rsidRDefault="00502F3A">
      <w:pPr>
        <w:tabs>
          <w:tab w:val="left" w:pos="360"/>
        </w:tabs>
        <w:jc w:val="both"/>
        <w:rPr>
          <w:rFonts w:ascii="Arial" w:hAnsi="Arial" w:cs="Arial"/>
          <w:bCs/>
          <w:sz w:val="18"/>
          <w:szCs w:val="18"/>
        </w:rPr>
      </w:pPr>
    </w:p>
    <w:p w14:paraId="6A1271E9" w14:textId="77777777" w:rsidR="00502F3A" w:rsidRDefault="00000000">
      <w:pPr>
        <w:pStyle w:val="ListParagraph"/>
        <w:numPr>
          <w:ilvl w:val="0"/>
          <w:numId w:val="7"/>
        </w:numPr>
        <w:tabs>
          <w:tab w:val="left" w:pos="360"/>
        </w:tabs>
        <w:ind w:hanging="983"/>
        <w:jc w:val="both"/>
        <w:rPr>
          <w:rFonts w:ascii="Arial" w:hAnsi="Arial" w:cs="Arial"/>
          <w:bCs/>
          <w:sz w:val="18"/>
          <w:szCs w:val="18"/>
        </w:rPr>
      </w:pPr>
      <w:r>
        <w:rPr>
          <w:rFonts w:ascii="Arial" w:hAnsi="Arial" w:cs="Arial"/>
          <w:bCs/>
          <w:sz w:val="18"/>
          <w:szCs w:val="18"/>
        </w:rPr>
        <w:t>External Evaluation:</w:t>
      </w:r>
    </w:p>
    <w:p w14:paraId="60A8EAB9" w14:textId="77777777" w:rsidR="00502F3A" w:rsidRDefault="00000000">
      <w:pPr>
        <w:tabs>
          <w:tab w:val="left" w:pos="360"/>
        </w:tabs>
        <w:ind w:left="142"/>
        <w:jc w:val="both"/>
        <w:rPr>
          <w:rFonts w:ascii="Arial" w:hAnsi="Arial" w:cs="Arial"/>
          <w:bCs/>
          <w:sz w:val="18"/>
          <w:szCs w:val="18"/>
        </w:rPr>
      </w:pPr>
      <w:r>
        <w:rPr>
          <w:rFonts w:ascii="Arial" w:hAnsi="Arial" w:cs="Arial"/>
          <w:bCs/>
          <w:sz w:val="18"/>
          <w:szCs w:val="18"/>
        </w:rPr>
        <w:t>β-</w:t>
      </w:r>
      <w:proofErr w:type="spellStart"/>
      <w:r>
        <w:rPr>
          <w:rFonts w:ascii="Arial" w:hAnsi="Arial" w:cs="Arial"/>
          <w:bCs/>
          <w:sz w:val="18"/>
          <w:szCs w:val="18"/>
        </w:rPr>
        <w:t>hCG</w:t>
      </w:r>
      <w:proofErr w:type="spellEnd"/>
      <w:r>
        <w:rPr>
          <w:rFonts w:ascii="Arial" w:hAnsi="Arial" w:cs="Arial"/>
          <w:bCs/>
          <w:sz w:val="18"/>
          <w:szCs w:val="18"/>
        </w:rPr>
        <w:t xml:space="preserve"> ELISA has been evaluated by a NABL accredited lab against their reference method. In this evaluation β-</w:t>
      </w:r>
      <w:proofErr w:type="spellStart"/>
      <w:r>
        <w:rPr>
          <w:rFonts w:ascii="Arial" w:hAnsi="Arial" w:cs="Arial"/>
          <w:bCs/>
          <w:sz w:val="18"/>
          <w:szCs w:val="18"/>
        </w:rPr>
        <w:t>hCG</w:t>
      </w:r>
      <w:proofErr w:type="spellEnd"/>
      <w:r>
        <w:rPr>
          <w:rFonts w:ascii="Arial" w:hAnsi="Arial" w:cs="Arial"/>
          <w:bCs/>
          <w:sz w:val="18"/>
          <w:szCs w:val="18"/>
        </w:rPr>
        <w:t xml:space="preserve"> ELISA has demonstrated 98% correlation with the reference method. </w:t>
      </w:r>
    </w:p>
    <w:p w14:paraId="4B41AC20" w14:textId="77777777" w:rsidR="00502F3A" w:rsidRDefault="00000000">
      <w:pPr>
        <w:tabs>
          <w:tab w:val="left" w:pos="360"/>
        </w:tabs>
        <w:ind w:left="142"/>
        <w:jc w:val="both"/>
        <w:rPr>
          <w:rFonts w:ascii="Arial" w:hAnsi="Arial" w:cs="Arial"/>
          <w:bCs/>
          <w:sz w:val="18"/>
          <w:szCs w:val="18"/>
        </w:rPr>
      </w:pPr>
      <w:r>
        <w:rPr>
          <w:rFonts w:ascii="Arial" w:hAnsi="Arial" w:cs="Arial"/>
          <w:bCs/>
          <w:sz w:val="18"/>
          <w:szCs w:val="18"/>
        </w:rPr>
        <w:t xml:space="preserve">*Data file: Orchid Biomedical Systems (P) Ltd. </w:t>
      </w:r>
    </w:p>
    <w:p w14:paraId="31751733" w14:textId="77777777" w:rsidR="00502F3A" w:rsidRDefault="00502F3A">
      <w:pPr>
        <w:tabs>
          <w:tab w:val="left" w:pos="360"/>
        </w:tabs>
        <w:ind w:left="142"/>
        <w:jc w:val="both"/>
        <w:rPr>
          <w:rFonts w:ascii="Arial" w:hAnsi="Arial" w:cs="Arial"/>
          <w:bCs/>
          <w:sz w:val="18"/>
          <w:szCs w:val="18"/>
        </w:rPr>
      </w:pPr>
    </w:p>
    <w:p w14:paraId="7407D59E" w14:textId="77777777" w:rsidR="00502F3A" w:rsidRDefault="00000000">
      <w:pPr>
        <w:tabs>
          <w:tab w:val="left" w:pos="360"/>
        </w:tabs>
        <w:ind w:left="142"/>
        <w:jc w:val="both"/>
        <w:rPr>
          <w:rFonts w:ascii="Arial" w:hAnsi="Arial" w:cs="Arial"/>
          <w:bCs/>
          <w:sz w:val="18"/>
          <w:szCs w:val="18"/>
        </w:rPr>
      </w:pPr>
      <w:r>
        <w:rPr>
          <w:rFonts w:ascii="Arial" w:hAnsi="Arial" w:cs="Arial"/>
          <w:bCs/>
          <w:sz w:val="18"/>
          <w:szCs w:val="18"/>
        </w:rPr>
        <w:t xml:space="preserve">IMPORTANT NOTE </w:t>
      </w:r>
    </w:p>
    <w:p w14:paraId="6B9B0349" w14:textId="77777777" w:rsidR="00502F3A" w:rsidRDefault="00000000">
      <w:pPr>
        <w:pStyle w:val="ListParagraph"/>
        <w:numPr>
          <w:ilvl w:val="0"/>
          <w:numId w:val="9"/>
        </w:numPr>
        <w:tabs>
          <w:tab w:val="left" w:pos="567"/>
          <w:tab w:val="left" w:pos="709"/>
        </w:tabs>
        <w:jc w:val="both"/>
        <w:rPr>
          <w:rFonts w:ascii="Arial" w:hAnsi="Arial" w:cs="Arial"/>
          <w:bCs/>
          <w:sz w:val="18"/>
          <w:szCs w:val="18"/>
        </w:rPr>
      </w:pPr>
      <w:r>
        <w:rPr>
          <w:rFonts w:ascii="Arial" w:hAnsi="Arial" w:cs="Arial"/>
          <w:bCs/>
          <w:sz w:val="18"/>
          <w:szCs w:val="18"/>
        </w:rPr>
        <w:t xml:space="preserve">This assay is temperature sensitive assay. The best temperature condition for this assay is from 18°C to 25°C. </w:t>
      </w:r>
    </w:p>
    <w:p w14:paraId="34D9EF25" w14:textId="77777777" w:rsidR="00502F3A" w:rsidRDefault="00000000">
      <w:pPr>
        <w:pStyle w:val="ListParagraph"/>
        <w:numPr>
          <w:ilvl w:val="0"/>
          <w:numId w:val="9"/>
        </w:numPr>
        <w:tabs>
          <w:tab w:val="left" w:pos="567"/>
          <w:tab w:val="left" w:pos="709"/>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27B84060" w14:textId="77777777" w:rsidR="00502F3A" w:rsidRDefault="00000000">
      <w:pPr>
        <w:pStyle w:val="ListParagraph"/>
        <w:numPr>
          <w:ilvl w:val="0"/>
          <w:numId w:val="9"/>
        </w:numPr>
        <w:tabs>
          <w:tab w:val="left" w:pos="567"/>
          <w:tab w:val="left" w:pos="709"/>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 </w:t>
      </w:r>
    </w:p>
    <w:p w14:paraId="628A65DC" w14:textId="77777777" w:rsidR="00502F3A" w:rsidRDefault="00000000">
      <w:pPr>
        <w:pStyle w:val="ListParagraph"/>
        <w:numPr>
          <w:ilvl w:val="0"/>
          <w:numId w:val="9"/>
        </w:numPr>
        <w:tabs>
          <w:tab w:val="left" w:pos="567"/>
          <w:tab w:val="left" w:pos="709"/>
        </w:tabs>
        <w:jc w:val="both"/>
        <w:rPr>
          <w:rFonts w:ascii="Arial" w:hAnsi="Arial" w:cs="Arial"/>
          <w:bCs/>
          <w:sz w:val="18"/>
          <w:szCs w:val="18"/>
        </w:rPr>
      </w:pPr>
      <w:r>
        <w:rPr>
          <w:rFonts w:ascii="Arial" w:hAnsi="Arial" w:cs="Arial"/>
          <w:bCs/>
          <w:sz w:val="18"/>
          <w:szCs w:val="18"/>
        </w:rPr>
        <w:t>Duplication of standards, samples and controls is not mandatory but may provide information on reproducibility &amp; application errors.</w:t>
      </w:r>
    </w:p>
    <w:p w14:paraId="72729198" w14:textId="77777777" w:rsidR="00502F3A" w:rsidRDefault="00502F3A">
      <w:pPr>
        <w:tabs>
          <w:tab w:val="left" w:pos="360"/>
        </w:tabs>
        <w:ind w:left="142"/>
        <w:jc w:val="both"/>
        <w:rPr>
          <w:rFonts w:ascii="Arial" w:hAnsi="Arial" w:cs="Arial"/>
          <w:bCs/>
          <w:sz w:val="18"/>
          <w:szCs w:val="18"/>
        </w:rPr>
      </w:pPr>
    </w:p>
    <w:p w14:paraId="30486AE8" w14:textId="77777777" w:rsidR="00502F3A" w:rsidRDefault="00000000">
      <w:pPr>
        <w:tabs>
          <w:tab w:val="left" w:pos="360"/>
        </w:tabs>
        <w:ind w:left="142"/>
        <w:jc w:val="both"/>
        <w:rPr>
          <w:rFonts w:ascii="Arial" w:hAnsi="Arial" w:cs="Arial"/>
          <w:bCs/>
          <w:sz w:val="18"/>
          <w:szCs w:val="18"/>
        </w:rPr>
      </w:pPr>
      <w:r>
        <w:rPr>
          <w:rFonts w:ascii="Arial" w:hAnsi="Arial" w:cs="Arial"/>
          <w:bCs/>
          <w:sz w:val="18"/>
          <w:szCs w:val="18"/>
        </w:rPr>
        <w:t>LIMITATIONS OF THE ASSAY</w:t>
      </w:r>
    </w:p>
    <w:p w14:paraId="653A1554" w14:textId="77777777" w:rsidR="00502F3A" w:rsidRDefault="00000000">
      <w:pPr>
        <w:tabs>
          <w:tab w:val="left" w:pos="360"/>
        </w:tabs>
        <w:ind w:left="567" w:hanging="425"/>
        <w:jc w:val="both"/>
        <w:rPr>
          <w:rFonts w:ascii="Arial" w:hAnsi="Arial" w:cs="Arial"/>
          <w:bCs/>
          <w:sz w:val="18"/>
          <w:szCs w:val="18"/>
        </w:rPr>
      </w:pPr>
      <w:r>
        <w:rPr>
          <w:rFonts w:ascii="Arial" w:hAnsi="Arial" w:cs="Arial"/>
          <w:bCs/>
          <w:sz w:val="18"/>
          <w:szCs w:val="18"/>
        </w:rPr>
        <w:t xml:space="preserve">(1). 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 </w:t>
      </w:r>
    </w:p>
    <w:p w14:paraId="00512990" w14:textId="77777777" w:rsidR="00502F3A" w:rsidRDefault="00000000">
      <w:pPr>
        <w:tabs>
          <w:tab w:val="left" w:pos="360"/>
        </w:tabs>
        <w:ind w:left="567" w:hanging="425"/>
        <w:jc w:val="both"/>
        <w:rPr>
          <w:rFonts w:ascii="Arial" w:hAnsi="Arial" w:cs="Arial"/>
          <w:bCs/>
          <w:sz w:val="18"/>
          <w:szCs w:val="18"/>
        </w:rPr>
      </w:pPr>
      <w:r>
        <w:rPr>
          <w:rFonts w:ascii="Arial" w:hAnsi="Arial" w:cs="Arial"/>
          <w:bCs/>
          <w:sz w:val="18"/>
          <w:szCs w:val="18"/>
        </w:rPr>
        <w:t xml:space="preserve">(2). 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 </w:t>
      </w:r>
    </w:p>
    <w:p w14:paraId="44B417F5" w14:textId="77777777" w:rsidR="00502F3A" w:rsidRDefault="00000000">
      <w:pPr>
        <w:tabs>
          <w:tab w:val="left" w:pos="360"/>
        </w:tabs>
        <w:ind w:left="567" w:hanging="283"/>
        <w:jc w:val="both"/>
        <w:rPr>
          <w:rFonts w:ascii="Arial" w:hAnsi="Arial" w:cs="Arial"/>
          <w:bCs/>
          <w:sz w:val="18"/>
          <w:szCs w:val="18"/>
        </w:rPr>
      </w:pPr>
      <w:r>
        <w:rPr>
          <w:rFonts w:ascii="Arial" w:hAnsi="Arial" w:cs="Arial"/>
          <w:bCs/>
          <w:sz w:val="18"/>
          <w:szCs w:val="18"/>
        </w:rPr>
        <w:t xml:space="preserve">(3). 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4C07F702" w14:textId="77777777" w:rsidR="00502F3A" w:rsidRDefault="00000000">
      <w:pPr>
        <w:tabs>
          <w:tab w:val="left" w:pos="360"/>
        </w:tabs>
        <w:ind w:left="567" w:hanging="283"/>
        <w:jc w:val="both"/>
        <w:rPr>
          <w:rFonts w:ascii="Arial" w:hAnsi="Arial" w:cs="Arial"/>
          <w:bCs/>
          <w:sz w:val="18"/>
          <w:szCs w:val="18"/>
        </w:rPr>
      </w:pPr>
      <w:r>
        <w:rPr>
          <w:rFonts w:ascii="Arial" w:hAnsi="Arial" w:cs="Arial"/>
          <w:bCs/>
          <w:sz w:val="18"/>
          <w:szCs w:val="18"/>
        </w:rPr>
        <w:t>(4</w:t>
      </w:r>
      <w:proofErr w:type="gramStart"/>
      <w:r>
        <w:rPr>
          <w:rFonts w:ascii="Arial" w:hAnsi="Arial" w:cs="Arial"/>
          <w:bCs/>
          <w:sz w:val="18"/>
          <w:szCs w:val="18"/>
        </w:rPr>
        <w:t>).Insufficient</w:t>
      </w:r>
      <w:proofErr w:type="gramEnd"/>
      <w:r>
        <w:rPr>
          <w:rFonts w:ascii="Arial" w:hAnsi="Arial" w:cs="Arial"/>
          <w:bCs/>
          <w:sz w:val="18"/>
          <w:szCs w:val="18"/>
        </w:rPr>
        <w:t xml:space="preserve"> washing (e.g., less than 5 wash cycles, too small wash buffer volumes, or shortened reaction times) can lead to incorrect OD values.</w:t>
      </w:r>
    </w:p>
    <w:p w14:paraId="689BEA41" w14:textId="77777777" w:rsidR="00502F3A" w:rsidRDefault="00502F3A">
      <w:pPr>
        <w:tabs>
          <w:tab w:val="left" w:pos="360"/>
        </w:tabs>
        <w:ind w:left="142"/>
        <w:jc w:val="both"/>
        <w:rPr>
          <w:rFonts w:ascii="Arial" w:hAnsi="Arial" w:cs="Arial"/>
          <w:bCs/>
          <w:sz w:val="18"/>
          <w:szCs w:val="18"/>
        </w:rPr>
      </w:pPr>
    </w:p>
    <w:p w14:paraId="4076BA59" w14:textId="77777777" w:rsidR="00502F3A" w:rsidRDefault="00000000">
      <w:pPr>
        <w:tabs>
          <w:tab w:val="left" w:pos="360"/>
        </w:tabs>
        <w:ind w:left="142"/>
        <w:jc w:val="both"/>
        <w:rPr>
          <w:rFonts w:ascii="Arial" w:hAnsi="Arial" w:cs="Arial"/>
          <w:bCs/>
          <w:sz w:val="18"/>
          <w:szCs w:val="18"/>
        </w:rPr>
      </w:pPr>
      <w:r>
        <w:rPr>
          <w:rFonts w:ascii="Arial" w:hAnsi="Arial" w:cs="Arial"/>
          <w:bCs/>
          <w:sz w:val="18"/>
          <w:szCs w:val="18"/>
        </w:rPr>
        <w:t xml:space="preserve">BIBLIOGRAPHY </w:t>
      </w:r>
    </w:p>
    <w:p w14:paraId="25D7B00A" w14:textId="77777777" w:rsidR="00502F3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Stenman U.H., Tanner P., Ranta T., Schroder J. and Seppala M. Obstet. Gynecol. 1882; 59:375-377. </w:t>
      </w:r>
    </w:p>
    <w:p w14:paraId="5E8942F4" w14:textId="77777777" w:rsidR="00502F3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Kosasa T.S. J. </w:t>
      </w:r>
      <w:proofErr w:type="spellStart"/>
      <w:r>
        <w:rPr>
          <w:rFonts w:ascii="Arial" w:hAnsi="Arial" w:cs="Arial"/>
          <w:bCs/>
          <w:sz w:val="18"/>
          <w:szCs w:val="18"/>
        </w:rPr>
        <w:t>Reprod</w:t>
      </w:r>
      <w:proofErr w:type="spellEnd"/>
      <w:r>
        <w:rPr>
          <w:rFonts w:ascii="Arial" w:hAnsi="Arial" w:cs="Arial"/>
          <w:bCs/>
          <w:sz w:val="18"/>
          <w:szCs w:val="18"/>
        </w:rPr>
        <w:t xml:space="preserve">. Med. 1981; 26: 201. </w:t>
      </w:r>
    </w:p>
    <w:p w14:paraId="52DA63E1" w14:textId="77777777" w:rsidR="00502F3A" w:rsidRDefault="00000000">
      <w:pPr>
        <w:pStyle w:val="ListParagraph"/>
        <w:numPr>
          <w:ilvl w:val="0"/>
          <w:numId w:val="10"/>
        </w:numPr>
        <w:tabs>
          <w:tab w:val="left" w:pos="360"/>
        </w:tabs>
        <w:jc w:val="both"/>
        <w:rPr>
          <w:rFonts w:ascii="Arial" w:hAnsi="Arial" w:cs="Arial"/>
          <w:bCs/>
          <w:sz w:val="18"/>
          <w:szCs w:val="18"/>
        </w:rPr>
      </w:pPr>
      <w:proofErr w:type="spellStart"/>
      <w:r>
        <w:rPr>
          <w:rFonts w:ascii="Arial" w:hAnsi="Arial" w:cs="Arial"/>
          <w:bCs/>
          <w:sz w:val="18"/>
          <w:szCs w:val="18"/>
        </w:rPr>
        <w:t>Dipietro</w:t>
      </w:r>
      <w:proofErr w:type="spellEnd"/>
      <w:r>
        <w:rPr>
          <w:rFonts w:ascii="Arial" w:hAnsi="Arial" w:cs="Arial"/>
          <w:bCs/>
          <w:sz w:val="18"/>
          <w:szCs w:val="18"/>
        </w:rPr>
        <w:t xml:space="preserve"> D.L. Laboratory Management 1981; 19: 1.</w:t>
      </w:r>
    </w:p>
    <w:p w14:paraId="1F369564" w14:textId="77777777" w:rsidR="00502F3A" w:rsidRDefault="00000000">
      <w:pPr>
        <w:pStyle w:val="ListParagraph"/>
        <w:numPr>
          <w:ilvl w:val="0"/>
          <w:numId w:val="10"/>
        </w:numPr>
        <w:tabs>
          <w:tab w:val="left" w:pos="360"/>
        </w:tabs>
        <w:jc w:val="both"/>
        <w:rPr>
          <w:rFonts w:ascii="Arial" w:hAnsi="Arial" w:cs="Arial"/>
          <w:bCs/>
          <w:sz w:val="18"/>
          <w:szCs w:val="18"/>
        </w:rPr>
      </w:pPr>
      <w:proofErr w:type="spellStart"/>
      <w:r>
        <w:rPr>
          <w:rFonts w:ascii="Arial" w:hAnsi="Arial" w:cs="Arial"/>
          <w:bCs/>
          <w:sz w:val="18"/>
          <w:szCs w:val="18"/>
        </w:rPr>
        <w:t>Uotilia</w:t>
      </w:r>
      <w:proofErr w:type="spellEnd"/>
      <w:r>
        <w:rPr>
          <w:rFonts w:ascii="Arial" w:hAnsi="Arial" w:cs="Arial"/>
          <w:bCs/>
          <w:sz w:val="18"/>
          <w:szCs w:val="18"/>
        </w:rPr>
        <w:t xml:space="preserve"> M., </w:t>
      </w:r>
      <w:proofErr w:type="spellStart"/>
      <w:r>
        <w:rPr>
          <w:rFonts w:ascii="Arial" w:hAnsi="Arial" w:cs="Arial"/>
          <w:bCs/>
          <w:sz w:val="18"/>
          <w:szCs w:val="18"/>
        </w:rPr>
        <w:t>Ruoslahti</w:t>
      </w:r>
      <w:proofErr w:type="spellEnd"/>
      <w:r>
        <w:rPr>
          <w:rFonts w:ascii="Arial" w:hAnsi="Arial" w:cs="Arial"/>
          <w:bCs/>
          <w:sz w:val="18"/>
          <w:szCs w:val="18"/>
        </w:rPr>
        <w:t xml:space="preserve"> E. and Engvall E. J. Immunol. Methods 1981; 42: 11-15.</w:t>
      </w:r>
    </w:p>
    <w:p w14:paraId="0C0DF154" w14:textId="77777777" w:rsidR="00502F3A" w:rsidRDefault="00000000">
      <w:pPr>
        <w:pStyle w:val="ListParagraph"/>
        <w:numPr>
          <w:ilvl w:val="0"/>
          <w:numId w:val="10"/>
        </w:numPr>
        <w:tabs>
          <w:tab w:val="left" w:pos="360"/>
        </w:tabs>
        <w:jc w:val="both"/>
        <w:rPr>
          <w:rFonts w:ascii="Arial" w:hAnsi="Arial" w:cs="Arial"/>
          <w:bCs/>
          <w:sz w:val="18"/>
          <w:szCs w:val="18"/>
        </w:rPr>
      </w:pPr>
      <w:proofErr w:type="spellStart"/>
      <w:r>
        <w:rPr>
          <w:rFonts w:ascii="Arial" w:hAnsi="Arial" w:cs="Arial"/>
          <w:bCs/>
          <w:sz w:val="18"/>
          <w:szCs w:val="18"/>
        </w:rPr>
        <w:t>Masseyeff</w:t>
      </w:r>
      <w:proofErr w:type="spellEnd"/>
      <w:r>
        <w:rPr>
          <w:rFonts w:ascii="Arial" w:hAnsi="Arial" w:cs="Arial"/>
          <w:bCs/>
          <w:sz w:val="18"/>
          <w:szCs w:val="18"/>
        </w:rPr>
        <w:t xml:space="preserve"> R. and </w:t>
      </w:r>
      <w:proofErr w:type="spellStart"/>
      <w:r>
        <w:rPr>
          <w:rFonts w:ascii="Arial" w:hAnsi="Arial" w:cs="Arial"/>
          <w:bCs/>
          <w:sz w:val="18"/>
          <w:szCs w:val="18"/>
        </w:rPr>
        <w:t>Maiolini</w:t>
      </w:r>
      <w:proofErr w:type="spellEnd"/>
      <w:r>
        <w:rPr>
          <w:rFonts w:ascii="Arial" w:hAnsi="Arial" w:cs="Arial"/>
          <w:bCs/>
          <w:sz w:val="18"/>
          <w:szCs w:val="18"/>
        </w:rPr>
        <w:t xml:space="preserve"> R. J. Immunol Methods 1975; 8: 233. 11-15; 1981</w:t>
      </w:r>
    </w:p>
    <w:p w14:paraId="0DEFC862" w14:textId="77777777" w:rsidR="00502F3A"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Data on file: Orchid Biomedical Systems (P) Ltd.</w:t>
      </w:r>
    </w:p>
    <w:p w14:paraId="42E7192A" w14:textId="77777777" w:rsidR="00502F3A" w:rsidRDefault="00502F3A">
      <w:pPr>
        <w:tabs>
          <w:tab w:val="left" w:pos="360"/>
        </w:tabs>
        <w:jc w:val="center"/>
      </w:pPr>
    </w:p>
    <w:p w14:paraId="36BD37A0" w14:textId="77777777" w:rsidR="00502F3A" w:rsidRDefault="00000000">
      <w:pPr>
        <w:tabs>
          <w:tab w:val="left" w:pos="360"/>
        </w:tabs>
        <w:jc w:val="center"/>
      </w:pPr>
      <w:r>
        <w:object w:dxaOrig="3796" w:dyaOrig="3210" w14:anchorId="4BF1707A">
          <v:shape id="_x0000_i1026" type="#_x0000_t75" style="width:189.8pt;height:160.5pt" o:ole="">
            <v:imagedata r:id="rId10" o:title=""/>
          </v:shape>
          <o:OLEObject Type="Embed" ProgID="CorelDraw.Graphic.23" ShapeID="_x0000_i1026" DrawAspect="Content" ObjectID="_1789805927" r:id="rId11"/>
        </w:object>
      </w:r>
    </w:p>
    <w:p w14:paraId="140BC706" w14:textId="77777777" w:rsidR="00502F3A" w:rsidRDefault="00000000">
      <w:pPr>
        <w:tabs>
          <w:tab w:val="left" w:pos="360"/>
        </w:tabs>
        <w:jc w:val="both"/>
        <w:rPr>
          <w:lang w:val="en-GB"/>
        </w:rPr>
      </w:pPr>
      <w:r>
        <w:rPr>
          <w:lang w:val="en-GB"/>
        </w:rPr>
        <w:t xml:space="preserve">      </w:t>
      </w:r>
    </w:p>
    <w:p w14:paraId="22DEF91D" w14:textId="77777777" w:rsidR="00502F3A" w:rsidRDefault="00502F3A">
      <w:pPr>
        <w:tabs>
          <w:tab w:val="left" w:pos="360"/>
        </w:tabs>
        <w:jc w:val="both"/>
        <w:rPr>
          <w:lang w:val="en-GB"/>
        </w:rPr>
      </w:pPr>
    </w:p>
    <w:p w14:paraId="5F078F65" w14:textId="77777777" w:rsidR="00502F3A" w:rsidRDefault="00000000">
      <w:pPr>
        <w:tabs>
          <w:tab w:val="left" w:pos="360"/>
        </w:tabs>
        <w:ind w:firstLineChars="150" w:firstLine="300"/>
        <w:jc w:val="both"/>
        <w:rPr>
          <w:rFonts w:ascii="Arial" w:hAnsi="Arial" w:cs="Arial"/>
          <w:i/>
          <w:sz w:val="14"/>
          <w:szCs w:val="18"/>
        </w:rPr>
      </w:pPr>
      <w:r>
        <w:rPr>
          <w:lang w:val="en-GB"/>
        </w:rPr>
        <w:t xml:space="preserve">  </w:t>
      </w:r>
      <w:r>
        <w:object w:dxaOrig="3842" w:dyaOrig="1110" w14:anchorId="0874E319">
          <v:shape id="_x0000_i1027" type="#_x0000_t75" style="width:192.1pt;height:55.5pt" o:ole="">
            <v:imagedata r:id="rId12" o:title=""/>
          </v:shape>
          <o:OLEObject Type="Embed" ProgID="CorelDraw.Graphic.23" ShapeID="_x0000_i1027" DrawAspect="Content" ObjectID="_1789805928" r:id="rId13"/>
        </w:object>
      </w:r>
    </w:p>
    <w:sectPr w:rsidR="00502F3A">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2BF92F" w14:textId="77777777" w:rsidR="00F748F0" w:rsidRDefault="00F748F0">
      <w:r>
        <w:separator/>
      </w:r>
    </w:p>
  </w:endnote>
  <w:endnote w:type="continuationSeparator" w:id="0">
    <w:p w14:paraId="0A9B05DB" w14:textId="77777777" w:rsidR="00F748F0" w:rsidRDefault="00F74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8B67A3" w14:textId="77777777" w:rsidR="00502F3A" w:rsidRDefault="00502F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D0AEE" w14:textId="77777777" w:rsidR="00502F3A"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AAED49" w14:textId="77777777" w:rsidR="00502F3A" w:rsidRDefault="00502F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55C075" w14:textId="77777777" w:rsidR="00F748F0" w:rsidRDefault="00F748F0">
      <w:r>
        <w:separator/>
      </w:r>
    </w:p>
  </w:footnote>
  <w:footnote w:type="continuationSeparator" w:id="0">
    <w:p w14:paraId="3EA3660B" w14:textId="77777777" w:rsidR="00F748F0" w:rsidRDefault="00F748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43E6D3" w14:textId="77777777" w:rsidR="00502F3A" w:rsidRDefault="00502F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CFDB" w14:textId="77777777" w:rsidR="00502F3A" w:rsidRDefault="00502F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DC8C4A" w14:textId="77777777" w:rsidR="00502F3A" w:rsidRDefault="00502F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851F3A"/>
    <w:multiLevelType w:val="multilevel"/>
    <w:tmpl w:val="30851F3A"/>
    <w:lvl w:ilvl="0">
      <w:start w:val="1"/>
      <w:numFmt w:val="decimal"/>
      <w:lvlText w:val="%1."/>
      <w:lvlJc w:val="left"/>
      <w:pPr>
        <w:ind w:left="644" w:hanging="360"/>
      </w:pPr>
      <w:rPr>
        <w:rFonts w:hint="default"/>
      </w:r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 w15:restartNumberingAfterBreak="0">
    <w:nsid w:val="31DC7B9D"/>
    <w:multiLevelType w:val="multilevel"/>
    <w:tmpl w:val="31DC7B9D"/>
    <w:lvl w:ilvl="0">
      <w:start w:val="1"/>
      <w:numFmt w:val="decimal"/>
      <w:lvlText w:val="%1."/>
      <w:lvlJc w:val="left"/>
      <w:pPr>
        <w:ind w:left="709" w:hanging="360"/>
      </w:pPr>
      <w:rPr>
        <w:rFonts w:hint="default"/>
      </w:r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2" w15:restartNumberingAfterBreak="0">
    <w:nsid w:val="37921CE1"/>
    <w:multiLevelType w:val="multilevel"/>
    <w:tmpl w:val="37921CE1"/>
    <w:lvl w:ilvl="0">
      <w:start w:val="1"/>
      <w:numFmt w:val="upperLetter"/>
      <w:lvlText w:val="%1)"/>
      <w:lvlJc w:val="left"/>
      <w:pPr>
        <w:ind w:left="1125" w:hanging="360"/>
      </w:pPr>
      <w:rPr>
        <w:rFonts w:hint="default"/>
      </w:rPr>
    </w:lvl>
    <w:lvl w:ilvl="1">
      <w:start w:val="1"/>
      <w:numFmt w:val="lowerLetter"/>
      <w:lvlText w:val="%2."/>
      <w:lvlJc w:val="left"/>
      <w:pPr>
        <w:ind w:left="1845" w:hanging="360"/>
      </w:pPr>
    </w:lvl>
    <w:lvl w:ilvl="2">
      <w:start w:val="1"/>
      <w:numFmt w:val="lowerRoman"/>
      <w:lvlText w:val="%3."/>
      <w:lvlJc w:val="right"/>
      <w:pPr>
        <w:ind w:left="2565" w:hanging="180"/>
      </w:pPr>
    </w:lvl>
    <w:lvl w:ilvl="3">
      <w:start w:val="1"/>
      <w:numFmt w:val="decimal"/>
      <w:lvlText w:val="%4."/>
      <w:lvlJc w:val="left"/>
      <w:pPr>
        <w:ind w:left="3285" w:hanging="360"/>
      </w:pPr>
    </w:lvl>
    <w:lvl w:ilvl="4">
      <w:start w:val="1"/>
      <w:numFmt w:val="lowerLetter"/>
      <w:lvlText w:val="%5."/>
      <w:lvlJc w:val="left"/>
      <w:pPr>
        <w:ind w:left="4005" w:hanging="360"/>
      </w:pPr>
    </w:lvl>
    <w:lvl w:ilvl="5">
      <w:start w:val="1"/>
      <w:numFmt w:val="lowerRoman"/>
      <w:lvlText w:val="%6."/>
      <w:lvlJc w:val="right"/>
      <w:pPr>
        <w:ind w:left="4725" w:hanging="180"/>
      </w:pPr>
    </w:lvl>
    <w:lvl w:ilvl="6">
      <w:start w:val="1"/>
      <w:numFmt w:val="decimal"/>
      <w:lvlText w:val="%7."/>
      <w:lvlJc w:val="left"/>
      <w:pPr>
        <w:ind w:left="5445" w:hanging="360"/>
      </w:pPr>
    </w:lvl>
    <w:lvl w:ilvl="7">
      <w:start w:val="1"/>
      <w:numFmt w:val="lowerLetter"/>
      <w:lvlText w:val="%8."/>
      <w:lvlJc w:val="left"/>
      <w:pPr>
        <w:ind w:left="6165" w:hanging="360"/>
      </w:pPr>
    </w:lvl>
    <w:lvl w:ilvl="8">
      <w:start w:val="1"/>
      <w:numFmt w:val="lowerRoman"/>
      <w:lvlText w:val="%9."/>
      <w:lvlJc w:val="right"/>
      <w:pPr>
        <w:ind w:left="6885" w:hanging="180"/>
      </w:pPr>
    </w:lvl>
  </w:abstractNum>
  <w:abstractNum w:abstractNumId="3" w15:restartNumberingAfterBreak="0">
    <w:nsid w:val="3D2F7B6B"/>
    <w:multiLevelType w:val="multilevel"/>
    <w:tmpl w:val="3D2F7B6B"/>
    <w:lvl w:ilvl="0">
      <w:start w:val="1"/>
      <w:numFmt w:val="decimal"/>
      <w:lvlText w:val="%1."/>
      <w:lvlJc w:val="left"/>
      <w:pPr>
        <w:ind w:left="502" w:hanging="360"/>
      </w:pPr>
      <w:rPr>
        <w:rFonts w:hint="default"/>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4" w15:restartNumberingAfterBreak="0">
    <w:nsid w:val="5936F62F"/>
    <w:multiLevelType w:val="singleLevel"/>
    <w:tmpl w:val="5936F62F"/>
    <w:lvl w:ilvl="0">
      <w:start w:val="1"/>
      <w:numFmt w:val="decimal"/>
      <w:lvlText w:val="%1."/>
      <w:lvlJc w:val="left"/>
      <w:pPr>
        <w:tabs>
          <w:tab w:val="left" w:pos="425"/>
        </w:tabs>
        <w:ind w:left="425" w:hanging="425"/>
      </w:pPr>
      <w:rPr>
        <w:rFonts w:hint="default"/>
      </w:rPr>
    </w:lvl>
  </w:abstractNum>
  <w:abstractNum w:abstractNumId="5" w15:restartNumberingAfterBreak="0">
    <w:nsid w:val="657C013C"/>
    <w:multiLevelType w:val="multilevel"/>
    <w:tmpl w:val="657C013C"/>
    <w:lvl w:ilvl="0">
      <w:numFmt w:val="bullet"/>
      <w:lvlText w:val="·"/>
      <w:lvlJc w:val="left"/>
      <w:pPr>
        <w:ind w:left="709" w:hanging="360"/>
      </w:pPr>
      <w:rPr>
        <w:rFonts w:ascii="Arial" w:eastAsia="Times New Roman" w:hAnsi="Arial" w:cs="Arial" w:hint="default"/>
      </w:rPr>
    </w:lvl>
    <w:lvl w:ilvl="1">
      <w:start w:val="1"/>
      <w:numFmt w:val="bullet"/>
      <w:lvlText w:val="o"/>
      <w:lvlJc w:val="left"/>
      <w:pPr>
        <w:ind w:left="1429" w:hanging="360"/>
      </w:pPr>
      <w:rPr>
        <w:rFonts w:ascii="Courier New" w:hAnsi="Courier New" w:cs="Courier New" w:hint="default"/>
      </w:rPr>
    </w:lvl>
    <w:lvl w:ilvl="2">
      <w:start w:val="1"/>
      <w:numFmt w:val="bullet"/>
      <w:lvlText w:val=""/>
      <w:lvlJc w:val="left"/>
      <w:pPr>
        <w:ind w:left="2149" w:hanging="360"/>
      </w:pPr>
      <w:rPr>
        <w:rFonts w:ascii="Wingdings" w:hAnsi="Wingdings" w:hint="default"/>
      </w:rPr>
    </w:lvl>
    <w:lvl w:ilvl="3">
      <w:start w:val="1"/>
      <w:numFmt w:val="bullet"/>
      <w:lvlText w:val=""/>
      <w:lvlJc w:val="left"/>
      <w:pPr>
        <w:ind w:left="2869" w:hanging="360"/>
      </w:pPr>
      <w:rPr>
        <w:rFonts w:ascii="Symbol" w:hAnsi="Symbol" w:hint="default"/>
      </w:rPr>
    </w:lvl>
    <w:lvl w:ilvl="4">
      <w:start w:val="1"/>
      <w:numFmt w:val="bullet"/>
      <w:lvlText w:val="o"/>
      <w:lvlJc w:val="left"/>
      <w:pPr>
        <w:ind w:left="3589" w:hanging="360"/>
      </w:pPr>
      <w:rPr>
        <w:rFonts w:ascii="Courier New" w:hAnsi="Courier New" w:cs="Courier New" w:hint="default"/>
      </w:rPr>
    </w:lvl>
    <w:lvl w:ilvl="5">
      <w:start w:val="1"/>
      <w:numFmt w:val="bullet"/>
      <w:lvlText w:val=""/>
      <w:lvlJc w:val="left"/>
      <w:pPr>
        <w:ind w:left="4309" w:hanging="360"/>
      </w:pPr>
      <w:rPr>
        <w:rFonts w:ascii="Wingdings" w:hAnsi="Wingdings" w:hint="default"/>
      </w:rPr>
    </w:lvl>
    <w:lvl w:ilvl="6">
      <w:start w:val="1"/>
      <w:numFmt w:val="bullet"/>
      <w:lvlText w:val=""/>
      <w:lvlJc w:val="left"/>
      <w:pPr>
        <w:ind w:left="5029" w:hanging="360"/>
      </w:pPr>
      <w:rPr>
        <w:rFonts w:ascii="Symbol" w:hAnsi="Symbol" w:hint="default"/>
      </w:rPr>
    </w:lvl>
    <w:lvl w:ilvl="7">
      <w:start w:val="1"/>
      <w:numFmt w:val="bullet"/>
      <w:lvlText w:val="o"/>
      <w:lvlJc w:val="left"/>
      <w:pPr>
        <w:ind w:left="5749" w:hanging="360"/>
      </w:pPr>
      <w:rPr>
        <w:rFonts w:ascii="Courier New" w:hAnsi="Courier New" w:cs="Courier New" w:hint="default"/>
      </w:rPr>
    </w:lvl>
    <w:lvl w:ilvl="8">
      <w:start w:val="1"/>
      <w:numFmt w:val="bullet"/>
      <w:lvlText w:val=""/>
      <w:lvlJc w:val="left"/>
      <w:pPr>
        <w:ind w:left="6469" w:hanging="360"/>
      </w:pPr>
      <w:rPr>
        <w:rFonts w:ascii="Wingdings" w:hAnsi="Wingdings" w:hint="default"/>
      </w:rPr>
    </w:lvl>
  </w:abstractNum>
  <w:abstractNum w:abstractNumId="6" w15:restartNumberingAfterBreak="0">
    <w:nsid w:val="66F4777D"/>
    <w:multiLevelType w:val="multilevel"/>
    <w:tmpl w:val="66F4777D"/>
    <w:lvl w:ilvl="0">
      <w:start w:val="1"/>
      <w:numFmt w:val="decimal"/>
      <w:lvlText w:val="%1."/>
      <w:lvlJc w:val="left"/>
      <w:pPr>
        <w:ind w:left="709" w:hanging="360"/>
      </w:pPr>
      <w:rPr>
        <w:rFonts w:hint="default"/>
      </w:r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7" w15:restartNumberingAfterBreak="0">
    <w:nsid w:val="69937A5C"/>
    <w:multiLevelType w:val="multilevel"/>
    <w:tmpl w:val="69937A5C"/>
    <w:lvl w:ilvl="0">
      <w:start w:val="1"/>
      <w:numFmt w:val="decimal"/>
      <w:lvlText w:val="%1."/>
      <w:lvlJc w:val="left"/>
      <w:pPr>
        <w:ind w:left="709" w:hanging="360"/>
      </w:pPr>
      <w:rPr>
        <w:rFonts w:hint="default"/>
      </w:r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8" w15:restartNumberingAfterBreak="0">
    <w:nsid w:val="71C02B01"/>
    <w:multiLevelType w:val="multilevel"/>
    <w:tmpl w:val="71C02B01"/>
    <w:lvl w:ilvl="0">
      <w:start w:val="1"/>
      <w:numFmt w:val="decimal"/>
      <w:lvlText w:val="%1."/>
      <w:lvlJc w:val="left"/>
      <w:pPr>
        <w:ind w:left="709" w:hanging="360"/>
      </w:pPr>
      <w:rPr>
        <w:rFonts w:hint="default"/>
      </w:r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9" w15:restartNumberingAfterBreak="0">
    <w:nsid w:val="7D4D55A0"/>
    <w:multiLevelType w:val="multilevel"/>
    <w:tmpl w:val="7D4D55A0"/>
    <w:lvl w:ilvl="0">
      <w:start w:val="1"/>
      <w:numFmt w:val="decimal"/>
      <w:lvlText w:val="%1."/>
      <w:lvlJc w:val="left"/>
      <w:pPr>
        <w:ind w:left="754" w:hanging="360"/>
      </w:pPr>
      <w:rPr>
        <w:rFonts w:hint="default"/>
      </w:rPr>
    </w:lvl>
    <w:lvl w:ilvl="1">
      <w:start w:val="1"/>
      <w:numFmt w:val="lowerLetter"/>
      <w:lvlText w:val="%2."/>
      <w:lvlJc w:val="left"/>
      <w:pPr>
        <w:ind w:left="1474" w:hanging="360"/>
      </w:pPr>
    </w:lvl>
    <w:lvl w:ilvl="2">
      <w:start w:val="1"/>
      <w:numFmt w:val="lowerRoman"/>
      <w:lvlText w:val="%3."/>
      <w:lvlJc w:val="right"/>
      <w:pPr>
        <w:ind w:left="2194" w:hanging="180"/>
      </w:pPr>
    </w:lvl>
    <w:lvl w:ilvl="3">
      <w:start w:val="1"/>
      <w:numFmt w:val="decimal"/>
      <w:lvlText w:val="%4."/>
      <w:lvlJc w:val="left"/>
      <w:pPr>
        <w:ind w:left="2914" w:hanging="360"/>
      </w:pPr>
    </w:lvl>
    <w:lvl w:ilvl="4">
      <w:start w:val="1"/>
      <w:numFmt w:val="lowerLetter"/>
      <w:lvlText w:val="%5."/>
      <w:lvlJc w:val="left"/>
      <w:pPr>
        <w:ind w:left="3634" w:hanging="360"/>
      </w:pPr>
    </w:lvl>
    <w:lvl w:ilvl="5">
      <w:start w:val="1"/>
      <w:numFmt w:val="lowerRoman"/>
      <w:lvlText w:val="%6."/>
      <w:lvlJc w:val="right"/>
      <w:pPr>
        <w:ind w:left="4354" w:hanging="180"/>
      </w:pPr>
    </w:lvl>
    <w:lvl w:ilvl="6">
      <w:start w:val="1"/>
      <w:numFmt w:val="decimal"/>
      <w:lvlText w:val="%7."/>
      <w:lvlJc w:val="left"/>
      <w:pPr>
        <w:ind w:left="5074" w:hanging="360"/>
      </w:pPr>
    </w:lvl>
    <w:lvl w:ilvl="7">
      <w:start w:val="1"/>
      <w:numFmt w:val="lowerLetter"/>
      <w:lvlText w:val="%8."/>
      <w:lvlJc w:val="left"/>
      <w:pPr>
        <w:ind w:left="5794" w:hanging="360"/>
      </w:pPr>
    </w:lvl>
    <w:lvl w:ilvl="8">
      <w:start w:val="1"/>
      <w:numFmt w:val="lowerRoman"/>
      <w:lvlText w:val="%9."/>
      <w:lvlJc w:val="right"/>
      <w:pPr>
        <w:ind w:left="6514" w:hanging="180"/>
      </w:pPr>
    </w:lvl>
  </w:abstractNum>
  <w:num w:numId="1" w16cid:durableId="1473906112">
    <w:abstractNumId w:val="5"/>
  </w:num>
  <w:num w:numId="2" w16cid:durableId="1922637023">
    <w:abstractNumId w:val="1"/>
  </w:num>
  <w:num w:numId="3" w16cid:durableId="2114744662">
    <w:abstractNumId w:val="8"/>
  </w:num>
  <w:num w:numId="4" w16cid:durableId="475807189">
    <w:abstractNumId w:val="6"/>
  </w:num>
  <w:num w:numId="5" w16cid:durableId="1387794736">
    <w:abstractNumId w:val="7"/>
  </w:num>
  <w:num w:numId="6" w16cid:durableId="799884945">
    <w:abstractNumId w:val="9"/>
  </w:num>
  <w:num w:numId="7" w16cid:durableId="193232623">
    <w:abstractNumId w:val="2"/>
  </w:num>
  <w:num w:numId="8" w16cid:durableId="652178409">
    <w:abstractNumId w:val="4"/>
  </w:num>
  <w:num w:numId="9" w16cid:durableId="97338380">
    <w:abstractNumId w:val="3"/>
  </w:num>
  <w:num w:numId="10" w16cid:durableId="2125727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65081"/>
    <w:rsid w:val="000B0CEA"/>
    <w:rsid w:val="000E17FF"/>
    <w:rsid w:val="000F2C37"/>
    <w:rsid w:val="00101D45"/>
    <w:rsid w:val="001214F1"/>
    <w:rsid w:val="00131B4D"/>
    <w:rsid w:val="00137225"/>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67BE0"/>
    <w:rsid w:val="003A3C1E"/>
    <w:rsid w:val="003C2AD4"/>
    <w:rsid w:val="003C6025"/>
    <w:rsid w:val="00415F51"/>
    <w:rsid w:val="004569D5"/>
    <w:rsid w:val="00475744"/>
    <w:rsid w:val="00490520"/>
    <w:rsid w:val="004A017D"/>
    <w:rsid w:val="004A749E"/>
    <w:rsid w:val="004F00B7"/>
    <w:rsid w:val="00502F3A"/>
    <w:rsid w:val="0053059F"/>
    <w:rsid w:val="00580FE2"/>
    <w:rsid w:val="005967F3"/>
    <w:rsid w:val="005B47DA"/>
    <w:rsid w:val="005C438D"/>
    <w:rsid w:val="005C4601"/>
    <w:rsid w:val="005C7851"/>
    <w:rsid w:val="005D14FD"/>
    <w:rsid w:val="00690FA0"/>
    <w:rsid w:val="00691164"/>
    <w:rsid w:val="00691AF2"/>
    <w:rsid w:val="0069319B"/>
    <w:rsid w:val="00693A7F"/>
    <w:rsid w:val="006B68A2"/>
    <w:rsid w:val="006C1D4D"/>
    <w:rsid w:val="006E51E2"/>
    <w:rsid w:val="006E5B7D"/>
    <w:rsid w:val="006F1917"/>
    <w:rsid w:val="007417BA"/>
    <w:rsid w:val="00752D64"/>
    <w:rsid w:val="00763725"/>
    <w:rsid w:val="007650B8"/>
    <w:rsid w:val="007709B4"/>
    <w:rsid w:val="007743C8"/>
    <w:rsid w:val="00780A13"/>
    <w:rsid w:val="007846E1"/>
    <w:rsid w:val="00791CE1"/>
    <w:rsid w:val="007C3381"/>
    <w:rsid w:val="0080477D"/>
    <w:rsid w:val="008060B9"/>
    <w:rsid w:val="00807308"/>
    <w:rsid w:val="008131CD"/>
    <w:rsid w:val="008275B9"/>
    <w:rsid w:val="0086479E"/>
    <w:rsid w:val="00880D76"/>
    <w:rsid w:val="008B60FC"/>
    <w:rsid w:val="008E507D"/>
    <w:rsid w:val="00922C13"/>
    <w:rsid w:val="009271F7"/>
    <w:rsid w:val="0093184E"/>
    <w:rsid w:val="00933A79"/>
    <w:rsid w:val="00991FA3"/>
    <w:rsid w:val="00993132"/>
    <w:rsid w:val="00994741"/>
    <w:rsid w:val="00997C8D"/>
    <w:rsid w:val="009A35AC"/>
    <w:rsid w:val="00A00D6C"/>
    <w:rsid w:val="00A064B6"/>
    <w:rsid w:val="00A175D1"/>
    <w:rsid w:val="00A339AD"/>
    <w:rsid w:val="00A346F5"/>
    <w:rsid w:val="00A429AD"/>
    <w:rsid w:val="00A74AA9"/>
    <w:rsid w:val="00A80735"/>
    <w:rsid w:val="00A84946"/>
    <w:rsid w:val="00AC16E8"/>
    <w:rsid w:val="00AE7ED6"/>
    <w:rsid w:val="00AF6A29"/>
    <w:rsid w:val="00B141ED"/>
    <w:rsid w:val="00BB148B"/>
    <w:rsid w:val="00BE3603"/>
    <w:rsid w:val="00BE38FB"/>
    <w:rsid w:val="00BE437E"/>
    <w:rsid w:val="00BF4EAE"/>
    <w:rsid w:val="00C23350"/>
    <w:rsid w:val="00C37A29"/>
    <w:rsid w:val="00C4038C"/>
    <w:rsid w:val="00C41C2A"/>
    <w:rsid w:val="00C4489E"/>
    <w:rsid w:val="00C62BF6"/>
    <w:rsid w:val="00C6420C"/>
    <w:rsid w:val="00C64B48"/>
    <w:rsid w:val="00C765E7"/>
    <w:rsid w:val="00C80C1E"/>
    <w:rsid w:val="00CA5160"/>
    <w:rsid w:val="00CA5B79"/>
    <w:rsid w:val="00CA674C"/>
    <w:rsid w:val="00CB7351"/>
    <w:rsid w:val="00CC1C17"/>
    <w:rsid w:val="00CC4CF9"/>
    <w:rsid w:val="00CE33A1"/>
    <w:rsid w:val="00CF4C14"/>
    <w:rsid w:val="00D72C8C"/>
    <w:rsid w:val="00D740F5"/>
    <w:rsid w:val="00D86CBB"/>
    <w:rsid w:val="00DA500C"/>
    <w:rsid w:val="00DB2FE4"/>
    <w:rsid w:val="00DB48F8"/>
    <w:rsid w:val="00DB4A5B"/>
    <w:rsid w:val="00E05601"/>
    <w:rsid w:val="00E25627"/>
    <w:rsid w:val="00E2719F"/>
    <w:rsid w:val="00E67E07"/>
    <w:rsid w:val="00E73CF2"/>
    <w:rsid w:val="00E82464"/>
    <w:rsid w:val="00EA6728"/>
    <w:rsid w:val="00EB4AFD"/>
    <w:rsid w:val="00EB550C"/>
    <w:rsid w:val="00EE0E53"/>
    <w:rsid w:val="00F00A6A"/>
    <w:rsid w:val="00F012BA"/>
    <w:rsid w:val="00F109BB"/>
    <w:rsid w:val="00F15018"/>
    <w:rsid w:val="00F748F0"/>
    <w:rsid w:val="00F74F7B"/>
    <w:rsid w:val="00F818A7"/>
    <w:rsid w:val="00F92675"/>
    <w:rsid w:val="00FC3676"/>
    <w:rsid w:val="00FD3AA9"/>
    <w:rsid w:val="07B15B08"/>
    <w:rsid w:val="09DA5B45"/>
    <w:rsid w:val="110E3E08"/>
    <w:rsid w:val="166449B0"/>
    <w:rsid w:val="411244F2"/>
    <w:rsid w:val="4B9A461F"/>
    <w:rsid w:val="69F12F94"/>
    <w:rsid w:val="726E5A0B"/>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148FDDD"/>
  <w15:docId w15:val="{A39528E9-48AE-4C78-AAB2-9BD8A42F8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pPr>
      <w:tabs>
        <w:tab w:val="center" w:pos="4320"/>
        <w:tab w:val="right" w:pos="8640"/>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Pages>
  <Words>1858</Words>
  <Characters>10592</Characters>
  <Application>Microsoft Office Word</Application>
  <DocSecurity>0</DocSecurity>
  <Lines>88</Lines>
  <Paragraphs>24</Paragraphs>
  <ScaleCrop>false</ScaleCrop>
  <Company>E&amp;E Labs, Inc.</Company>
  <LinksUpToDate>false</LinksUpToDate>
  <CharactersWithSpaces>12426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35</cp:revision>
  <cp:lastPrinted>2008-08-26T11:33:00Z</cp:lastPrinted>
  <dcterms:created xsi:type="dcterms:W3CDTF">2024-08-01T07:51:00Z</dcterms:created>
  <dcterms:modified xsi:type="dcterms:W3CDTF">2024-10-07T06:02:00Z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8B0E35996ACE47E3878F67F81D680943_12</vt:lpwstr>
  </property>
</Properties>
</file>