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245CD9" w14:textId="77777777" w:rsidR="00694A80"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00D6F63C" wp14:editId="51B104A2">
                <wp:simplePos x="0" y="0"/>
                <wp:positionH relativeFrom="column">
                  <wp:posOffset>91440</wp:posOffset>
                </wp:positionH>
                <wp:positionV relativeFrom="paragraph">
                  <wp:posOffset>0</wp:posOffset>
                </wp:positionV>
                <wp:extent cx="2651760" cy="762000"/>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762000"/>
                        </a:xfrm>
                        <a:prstGeom prst="rect">
                          <a:avLst/>
                        </a:prstGeom>
                        <a:noFill/>
                        <a:ln>
                          <a:noFill/>
                        </a:ln>
                        <a:effectLst/>
                      </wps:spPr>
                      <wps:txbx>
                        <w:txbxContent>
                          <w:p w14:paraId="7AFFF3E8" w14:textId="77777777" w:rsidR="00694A80" w:rsidRDefault="00000000">
                            <w:pPr>
                              <w:jc w:val="center"/>
                              <w:rPr>
                                <w:rFonts w:ascii="Bookman Old Style" w:hAnsi="Bookman Old Style"/>
                                <w:b/>
                                <w:sz w:val="24"/>
                              </w:rPr>
                            </w:pPr>
                            <w:r>
                              <w:rPr>
                                <w:rFonts w:ascii="Bookman Old Style" w:hAnsi="Bookman Old Style"/>
                                <w:b/>
                                <w:sz w:val="24"/>
                              </w:rPr>
                              <w:t>Testosterone (TESTO)</w:t>
                            </w:r>
                          </w:p>
                          <w:p w14:paraId="483CF5D4" w14:textId="77777777" w:rsidR="00694A80" w:rsidRDefault="00000000">
                            <w:pPr>
                              <w:jc w:val="center"/>
                              <w:rPr>
                                <w:rFonts w:ascii="Bookman Old Style" w:hAnsi="Bookman Old Style"/>
                                <w:b/>
                                <w:sz w:val="24"/>
                              </w:rPr>
                            </w:pPr>
                            <w:r>
                              <w:rPr>
                                <w:rFonts w:ascii="Bookman Old Style" w:hAnsi="Bookman Old Style"/>
                                <w:b/>
                                <w:sz w:val="24"/>
                              </w:rPr>
                              <w:t xml:space="preserve">ENZYME IMMUNOASSAY </w:t>
                            </w:r>
                          </w:p>
                          <w:p w14:paraId="65AFAB3E" w14:textId="77777777" w:rsidR="00694A80" w:rsidRDefault="00000000">
                            <w:pPr>
                              <w:jc w:val="center"/>
                              <w:rPr>
                                <w:rFonts w:ascii="Bookman Old Style" w:hAnsi="Bookman Old Style"/>
                                <w:b/>
                                <w:sz w:val="24"/>
                              </w:rPr>
                            </w:pPr>
                            <w:r>
                              <w:rPr>
                                <w:rFonts w:ascii="Bookman Old Style" w:hAnsi="Bookman Old Style"/>
                                <w:b/>
                                <w:sz w:val="24"/>
                              </w:rPr>
                              <w:t>TEST KIT</w:t>
                            </w:r>
                          </w:p>
                          <w:p w14:paraId="1F495293" w14:textId="77777777" w:rsidR="00694A80" w:rsidRDefault="00694A80">
                            <w:pPr>
                              <w:jc w:val="center"/>
                              <w:rPr>
                                <w:b/>
                                <w:sz w:val="28"/>
                              </w:rPr>
                            </w:pPr>
                          </w:p>
                        </w:txbxContent>
                      </wps:txbx>
                      <wps:bodyPr rot="0" vert="horz" wrap="square" lIns="12700" tIns="12700" rIns="12700" bIns="12700" anchor="t" anchorCtr="0" upright="1">
                        <a:noAutofit/>
                      </wps:bodyPr>
                    </wps:wsp>
                  </a:graphicData>
                </a:graphic>
              </wp:anchor>
            </w:drawing>
          </mc:Choice>
          <mc:Fallback xmlns:wpsCustomData="http://www.wps.cn/officeDocument/2013/wpsCustomData">
            <w:pict>
              <v:rect id="Rectangle 2" o:spid="_x0000_s1026" o:spt="1" style="position:absolute;left:0pt;margin-left:7.2pt;margin-top:0pt;height:60pt;width:208.8pt;z-index:251659264;mso-width-relative:page;mso-height-relative:page;" filled="f" stroked="f" coordsize="21600,21600" o:allowincell="f" o:gfxdata="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Mg4Pb1AAAAAcBAAAPAAAAAAAAAAEAIAAAACIAAABkcnMv&#10;ZG93bnJldi54bWxQSwECFAAUAAAACACHTuJAlwDFfAcCAAAiBAAADgAAAAAAAAABACAAAAAjAQAA&#10;ZHJzL2Uyb0RvYy54bWxQSwUGAAAAAAYABgBZAQAAnAUAAAAA&#10;">
                <v:fill on="f" focussize="0,0"/>
                <v:stroke on="f"/>
                <v:imagedata o:title=""/>
                <o:lock v:ext="edit" aspectratio="f"/>
                <v:textbox inset="1pt,1pt,1pt,1pt">
                  <w:txbxContent>
                    <w:p w14:paraId="158DC3E0">
                      <w:pPr>
                        <w:jc w:val="center"/>
                        <w:rPr>
                          <w:rFonts w:ascii="Bookman Old Style" w:hAnsi="Bookman Old Style"/>
                          <w:b/>
                          <w:sz w:val="24"/>
                        </w:rPr>
                      </w:pPr>
                      <w:r>
                        <w:rPr>
                          <w:rFonts w:ascii="Bookman Old Style" w:hAnsi="Bookman Old Style"/>
                          <w:b/>
                          <w:sz w:val="24"/>
                        </w:rPr>
                        <w:t>Testosterone (TESTO)</w:t>
                      </w:r>
                    </w:p>
                    <w:p w14:paraId="52E12930">
                      <w:pPr>
                        <w:jc w:val="center"/>
                        <w:rPr>
                          <w:rFonts w:ascii="Bookman Old Style" w:hAnsi="Bookman Old Style"/>
                          <w:b/>
                          <w:sz w:val="24"/>
                        </w:rPr>
                      </w:pPr>
                      <w:r>
                        <w:rPr>
                          <w:rFonts w:ascii="Bookman Old Style" w:hAnsi="Bookman Old Style"/>
                          <w:b/>
                          <w:sz w:val="24"/>
                        </w:rPr>
                        <w:t xml:space="preserve">ENZYME IMMUNOASSAY </w:t>
                      </w:r>
                    </w:p>
                    <w:p w14:paraId="22F5F1ED">
                      <w:pPr>
                        <w:jc w:val="center"/>
                        <w:rPr>
                          <w:rFonts w:ascii="Bookman Old Style" w:hAnsi="Bookman Old Style"/>
                          <w:b/>
                          <w:sz w:val="24"/>
                        </w:rPr>
                      </w:pPr>
                      <w:r>
                        <w:rPr>
                          <w:rFonts w:ascii="Bookman Old Style" w:hAnsi="Bookman Old Style"/>
                          <w:b/>
                          <w:sz w:val="24"/>
                        </w:rPr>
                        <w:t>TEST KIT</w:t>
                      </w:r>
                    </w:p>
                    <w:p w14:paraId="504EE29E">
                      <w:pPr>
                        <w:jc w:val="center"/>
                        <w:rPr>
                          <w:b/>
                          <w:sz w:val="28"/>
                        </w:rPr>
                      </w:pPr>
                    </w:p>
                  </w:txbxContent>
                </v:textbox>
              </v:rect>
            </w:pict>
          </mc:Fallback>
        </mc:AlternateContent>
      </w:r>
    </w:p>
    <w:p w14:paraId="250AB325" w14:textId="77777777" w:rsidR="00694A80" w:rsidRDefault="00694A80">
      <w:pPr>
        <w:rPr>
          <w:sz w:val="24"/>
        </w:rPr>
      </w:pPr>
    </w:p>
    <w:p w14:paraId="268762C5" w14:textId="77777777" w:rsidR="00694A80" w:rsidRDefault="00694A80">
      <w:pPr>
        <w:rPr>
          <w:sz w:val="24"/>
        </w:rPr>
      </w:pPr>
    </w:p>
    <w:p w14:paraId="32E4DF42" w14:textId="77777777" w:rsidR="00694A80" w:rsidRDefault="00694A80">
      <w:pPr>
        <w:tabs>
          <w:tab w:val="left" w:pos="360"/>
        </w:tabs>
        <w:jc w:val="center"/>
        <w:rPr>
          <w:rFonts w:ascii="Arial" w:hAnsi="Arial" w:cs="Arial"/>
          <w:b/>
        </w:rPr>
      </w:pPr>
    </w:p>
    <w:p w14:paraId="1155A997" w14:textId="77777777" w:rsidR="00694A80" w:rsidRDefault="00694A80">
      <w:pPr>
        <w:tabs>
          <w:tab w:val="left" w:pos="360"/>
        </w:tabs>
        <w:jc w:val="center"/>
        <w:rPr>
          <w:rFonts w:ascii="Arial" w:hAnsi="Arial" w:cs="Arial"/>
          <w:b/>
        </w:rPr>
      </w:pPr>
    </w:p>
    <w:p w14:paraId="1E57CBB1" w14:textId="77777777" w:rsidR="00694A80" w:rsidRDefault="00000000">
      <w:pPr>
        <w:tabs>
          <w:tab w:val="left" w:pos="360"/>
        </w:tabs>
        <w:jc w:val="center"/>
        <w:rPr>
          <w:rFonts w:ascii="Arial" w:hAnsi="Arial" w:cs="Arial"/>
          <w:b/>
        </w:rPr>
      </w:pPr>
      <w:r>
        <w:rPr>
          <w:rFonts w:ascii="Arial" w:hAnsi="Arial" w:cs="Arial"/>
          <w:b/>
        </w:rPr>
        <w:t>Enzyme Linked Immunosorbent Assay (ELISA) for Quantitative Determination of Testosterone in Human Serum</w:t>
      </w:r>
    </w:p>
    <w:p w14:paraId="292E03DE" w14:textId="77777777" w:rsidR="00694A80" w:rsidRDefault="00694A80">
      <w:pPr>
        <w:tabs>
          <w:tab w:val="left" w:pos="360"/>
        </w:tabs>
        <w:jc w:val="center"/>
        <w:rPr>
          <w:rFonts w:ascii="Arial" w:hAnsi="Arial" w:cs="Arial"/>
          <w:b/>
        </w:rPr>
      </w:pPr>
    </w:p>
    <w:p w14:paraId="655728D3" w14:textId="77777777" w:rsidR="00694A80" w:rsidRDefault="00000000">
      <w:pPr>
        <w:tabs>
          <w:tab w:val="left" w:pos="360"/>
        </w:tabs>
        <w:jc w:val="center"/>
        <w:rPr>
          <w:rFonts w:ascii="Arial" w:hAnsi="Arial" w:cs="Arial"/>
          <w:b/>
        </w:rPr>
      </w:pPr>
      <w:r>
        <w:rPr>
          <w:rFonts w:ascii="Arial" w:hAnsi="Arial" w:cs="Arial"/>
          <w:b/>
        </w:rPr>
        <w:t>FOR IN VITRO DIAGNOSTIC USE ONLY</w:t>
      </w:r>
    </w:p>
    <w:p w14:paraId="5BC603F0" w14:textId="77777777" w:rsidR="00694A80" w:rsidRDefault="00000000">
      <w:pPr>
        <w:tabs>
          <w:tab w:val="left" w:pos="360"/>
        </w:tabs>
        <w:jc w:val="center"/>
        <w:rPr>
          <w:rFonts w:ascii="Arial" w:hAnsi="Arial" w:cs="Arial"/>
          <w:b/>
        </w:rPr>
      </w:pPr>
      <w:r>
        <w:rPr>
          <w:rFonts w:ascii="Arial" w:hAnsi="Arial" w:cs="Arial"/>
          <w:b/>
        </w:rPr>
        <w:t>Store at 2°C to 8°C</w:t>
      </w:r>
    </w:p>
    <w:p w14:paraId="5691ED7F" w14:textId="77777777" w:rsidR="00694A80" w:rsidRDefault="00694A80">
      <w:pPr>
        <w:tabs>
          <w:tab w:val="left" w:pos="360"/>
        </w:tabs>
        <w:rPr>
          <w:rFonts w:ascii="Arial" w:hAnsi="Arial" w:cs="Arial"/>
          <w:b/>
          <w:sz w:val="18"/>
          <w:szCs w:val="18"/>
        </w:rPr>
      </w:pPr>
    </w:p>
    <w:p w14:paraId="3750FCC6" w14:textId="77777777" w:rsidR="00694A80" w:rsidRDefault="00694A80">
      <w:pPr>
        <w:tabs>
          <w:tab w:val="left" w:pos="360"/>
        </w:tabs>
        <w:ind w:left="720" w:hanging="360"/>
        <w:jc w:val="both"/>
        <w:rPr>
          <w:rFonts w:ascii="Arial" w:hAnsi="Arial" w:cs="Arial"/>
          <w:bCs/>
          <w:sz w:val="18"/>
          <w:szCs w:val="18"/>
        </w:rPr>
      </w:pPr>
    </w:p>
    <w:p w14:paraId="38FE1764" w14:textId="77777777" w:rsidR="00694A80" w:rsidRDefault="00000000">
      <w:pPr>
        <w:tabs>
          <w:tab w:val="left" w:pos="360"/>
        </w:tabs>
        <w:jc w:val="both"/>
        <w:rPr>
          <w:rFonts w:ascii="Arial" w:hAnsi="Arial" w:cs="Arial"/>
          <w:bCs/>
          <w:sz w:val="18"/>
          <w:szCs w:val="18"/>
        </w:rPr>
      </w:pPr>
      <w:r>
        <w:rPr>
          <w:rFonts w:ascii="Arial" w:hAnsi="Arial" w:cs="Arial"/>
          <w:bCs/>
          <w:sz w:val="18"/>
          <w:szCs w:val="18"/>
        </w:rPr>
        <w:t xml:space="preserve"> </w:t>
      </w:r>
    </w:p>
    <w:p w14:paraId="06D41A8B" w14:textId="77777777" w:rsidR="00694A80" w:rsidRDefault="00000000">
      <w:pPr>
        <w:tabs>
          <w:tab w:val="left" w:pos="360"/>
        </w:tabs>
        <w:ind w:left="720" w:hanging="436"/>
        <w:jc w:val="both"/>
        <w:rPr>
          <w:rFonts w:ascii="Arial" w:hAnsi="Arial" w:cs="Arial"/>
          <w:bCs/>
          <w:sz w:val="18"/>
          <w:szCs w:val="18"/>
        </w:rPr>
      </w:pPr>
      <w:r>
        <w:rPr>
          <w:rFonts w:ascii="Arial" w:hAnsi="Arial" w:cs="Arial"/>
          <w:bCs/>
          <w:sz w:val="18"/>
          <w:szCs w:val="18"/>
        </w:rPr>
        <w:t>INTENDED USE</w:t>
      </w:r>
    </w:p>
    <w:p w14:paraId="120AF75A" w14:textId="77777777" w:rsidR="00694A80" w:rsidRDefault="00000000">
      <w:pPr>
        <w:tabs>
          <w:tab w:val="left" w:pos="360"/>
        </w:tabs>
        <w:ind w:left="284" w:hanging="360"/>
        <w:jc w:val="both"/>
        <w:rPr>
          <w:rFonts w:ascii="Arial" w:hAnsi="Arial" w:cs="Arial"/>
          <w:bCs/>
          <w:sz w:val="18"/>
          <w:szCs w:val="18"/>
        </w:rPr>
      </w:pPr>
      <w:r>
        <w:rPr>
          <w:rFonts w:ascii="Arial" w:hAnsi="Arial" w:cs="Arial"/>
          <w:bCs/>
          <w:sz w:val="18"/>
          <w:szCs w:val="18"/>
        </w:rPr>
        <w:tab/>
        <w:t>Testosterone Competitive ELISA test is intended for the quantitative determination of testosterone in human serum. For In Vitro Diagnostic Use only.</w:t>
      </w:r>
    </w:p>
    <w:p w14:paraId="49BFFBA8" w14:textId="77777777" w:rsidR="00694A80" w:rsidRDefault="00694A80">
      <w:pPr>
        <w:tabs>
          <w:tab w:val="left" w:pos="360"/>
        </w:tabs>
        <w:ind w:left="284" w:hanging="360"/>
        <w:jc w:val="both"/>
        <w:rPr>
          <w:rFonts w:ascii="Arial" w:hAnsi="Arial" w:cs="Arial"/>
          <w:bCs/>
          <w:sz w:val="18"/>
          <w:szCs w:val="18"/>
        </w:rPr>
      </w:pPr>
    </w:p>
    <w:p w14:paraId="65262C34" w14:textId="77777777" w:rsidR="00694A80" w:rsidRDefault="00000000">
      <w:pPr>
        <w:tabs>
          <w:tab w:val="left" w:pos="360"/>
        </w:tabs>
        <w:ind w:left="284" w:hanging="360"/>
        <w:jc w:val="both"/>
        <w:rPr>
          <w:rFonts w:ascii="Arial" w:hAnsi="Arial" w:cs="Arial"/>
          <w:bCs/>
          <w:sz w:val="18"/>
          <w:szCs w:val="18"/>
        </w:rPr>
      </w:pPr>
      <w:r>
        <w:rPr>
          <w:rFonts w:ascii="Arial" w:hAnsi="Arial" w:cs="Arial"/>
          <w:bCs/>
          <w:sz w:val="18"/>
          <w:szCs w:val="18"/>
        </w:rPr>
        <w:tab/>
        <w:t>INTRODUCTION</w:t>
      </w:r>
    </w:p>
    <w:p w14:paraId="047AAE5F" w14:textId="77777777" w:rsidR="00694A80" w:rsidRDefault="00000000">
      <w:pPr>
        <w:tabs>
          <w:tab w:val="left" w:pos="360"/>
        </w:tabs>
        <w:ind w:left="284" w:hanging="360"/>
        <w:jc w:val="both"/>
        <w:rPr>
          <w:rFonts w:ascii="Arial" w:hAnsi="Arial" w:cs="Arial"/>
          <w:bCs/>
          <w:sz w:val="18"/>
          <w:szCs w:val="18"/>
        </w:rPr>
      </w:pPr>
      <w:r>
        <w:rPr>
          <w:rFonts w:ascii="Arial" w:hAnsi="Arial" w:cs="Arial"/>
          <w:bCs/>
          <w:sz w:val="18"/>
          <w:szCs w:val="18"/>
        </w:rPr>
        <w:tab/>
        <w:t>Testosterone (17β-hydroxyandrost-4-ene-3-one) is a C19 steroid with an unsaturated bond between C-4 and C-5, a ketone group in C-3 and a hydroxyl group in the β position at C-17. This steroid hormone has a molecular weight of 288.4.</w:t>
      </w:r>
    </w:p>
    <w:p w14:paraId="71802011" w14:textId="77777777" w:rsidR="00694A80" w:rsidRDefault="00000000">
      <w:pPr>
        <w:tabs>
          <w:tab w:val="left" w:pos="360"/>
        </w:tabs>
        <w:ind w:left="284" w:hanging="360"/>
        <w:jc w:val="both"/>
        <w:rPr>
          <w:rFonts w:ascii="Arial" w:hAnsi="Arial" w:cs="Arial"/>
          <w:bCs/>
          <w:sz w:val="18"/>
          <w:szCs w:val="18"/>
        </w:rPr>
      </w:pPr>
      <w:r>
        <w:rPr>
          <w:rFonts w:ascii="Arial" w:hAnsi="Arial" w:cs="Arial"/>
          <w:bCs/>
          <w:sz w:val="18"/>
          <w:szCs w:val="18"/>
        </w:rPr>
        <w:tab/>
        <w:t>Testosterone is the most important androgen secreted into the blood. In males, testosterone is secreted primarily by the Leydig cells of the testes; in females ca. 50% of circulating testosterone is derived from peripheral conversion of androstenedione, ca. 25% from the ovary and ca. 25% from the adrenal glands. Testosterone is responsible for the development of secondary male sex characteristics and its measurements are helpful in evaluating the hypogonadal states.</w:t>
      </w:r>
    </w:p>
    <w:p w14:paraId="5B5B16CC" w14:textId="77777777" w:rsidR="00694A80" w:rsidRDefault="00000000">
      <w:pPr>
        <w:tabs>
          <w:tab w:val="left" w:pos="360"/>
        </w:tabs>
        <w:ind w:left="284" w:hanging="360"/>
        <w:jc w:val="both"/>
        <w:rPr>
          <w:rFonts w:ascii="Arial" w:hAnsi="Arial" w:cs="Arial"/>
          <w:bCs/>
          <w:sz w:val="18"/>
          <w:szCs w:val="18"/>
        </w:rPr>
      </w:pPr>
      <w:r>
        <w:rPr>
          <w:rFonts w:ascii="Arial" w:hAnsi="Arial" w:cs="Arial"/>
          <w:bCs/>
          <w:sz w:val="18"/>
          <w:szCs w:val="18"/>
        </w:rPr>
        <w:tab/>
        <w:t>In women, high levels of testosterone are generally found in hirsutism and virilization, polycystic ovaries, ovarian tumors, adrenal tumors and adrenal hyperplasia. In men, high levels of testosterone are associated to the hypothalamic pituitary unit diseases, testicular tumors, congenital adrenal hyperplasia and prostate cancer. Low levels of testosterone can be found in patients with the following diseases: Hypopituitarism, Klinefelter's syndrome, Testicular feminization, Orchidectomy and Cryptorchidism, enzymatic defects and some autoimmune diseases. The Testosterone EIA kits are designed for the measurement of total Testosterone in human serum.</w:t>
      </w:r>
    </w:p>
    <w:p w14:paraId="50867C3B" w14:textId="77777777" w:rsidR="00694A80" w:rsidRDefault="00694A80">
      <w:pPr>
        <w:tabs>
          <w:tab w:val="left" w:pos="360"/>
        </w:tabs>
        <w:ind w:left="720" w:hanging="360"/>
        <w:jc w:val="both"/>
        <w:rPr>
          <w:rFonts w:ascii="Arial" w:hAnsi="Arial" w:cs="Arial"/>
          <w:bCs/>
          <w:sz w:val="18"/>
          <w:szCs w:val="18"/>
        </w:rPr>
      </w:pPr>
    </w:p>
    <w:p w14:paraId="5258C165"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 PRINCIPLE OF THE ASSAY</w:t>
      </w:r>
    </w:p>
    <w:p w14:paraId="320010FD" w14:textId="77777777" w:rsidR="00694A80" w:rsidRDefault="00000000">
      <w:pPr>
        <w:tabs>
          <w:tab w:val="left" w:pos="426"/>
        </w:tabs>
        <w:ind w:left="426"/>
        <w:jc w:val="both"/>
        <w:rPr>
          <w:rFonts w:ascii="Arial" w:hAnsi="Arial" w:cs="Arial"/>
          <w:bCs/>
          <w:sz w:val="18"/>
          <w:szCs w:val="18"/>
        </w:rPr>
      </w:pPr>
      <w:r>
        <w:rPr>
          <w:rFonts w:ascii="Arial" w:hAnsi="Arial" w:cs="Arial"/>
          <w:bCs/>
          <w:sz w:val="18"/>
          <w:szCs w:val="18"/>
        </w:rPr>
        <w:t xml:space="preserve">The Testosterone EIA is based on the principle of competitive binding between testosterone in the test specimen and testosterone-HRP conjugate for a constant amount of rabbit anti- testosterone. In the incubation, goat anti-rabbit IgG-coated wells are incubated with testosterone standards &amp; patient samples along with testosterone-HRP Conjugate Reagent and rabbit anti-testosterone reagent at 37°C. During the incubation, a fixed amount of HRP-labeled testosterone competes with the endogenous testosterone in the standard and sample, for a fixed number of binding sites of the specific testosterone antibody. Thus, the amount of testosterone peroxidase </w:t>
      </w:r>
      <w:proofErr w:type="gramStart"/>
      <w:r>
        <w:rPr>
          <w:rFonts w:ascii="Arial" w:hAnsi="Arial" w:cs="Arial"/>
          <w:bCs/>
          <w:sz w:val="18"/>
          <w:szCs w:val="18"/>
        </w:rPr>
        <w:t>conjugate</w:t>
      </w:r>
      <w:proofErr w:type="gramEnd"/>
      <w:r>
        <w:rPr>
          <w:rFonts w:ascii="Arial" w:hAnsi="Arial" w:cs="Arial"/>
          <w:bCs/>
          <w:sz w:val="18"/>
          <w:szCs w:val="18"/>
        </w:rPr>
        <w:t xml:space="preserve"> immunologically bound to the well progressively decreases as the concentration of testosterone in the specimen increases. Unbound testosterone peroxidase conjugate is then </w:t>
      </w:r>
      <w:proofErr w:type="gramStart"/>
      <w:r>
        <w:rPr>
          <w:rFonts w:ascii="Arial" w:hAnsi="Arial" w:cs="Arial"/>
          <w:bCs/>
          <w:sz w:val="18"/>
          <w:szCs w:val="18"/>
        </w:rPr>
        <w:t>removed</w:t>
      </w:r>
      <w:proofErr w:type="gramEnd"/>
      <w:r>
        <w:rPr>
          <w:rFonts w:ascii="Arial" w:hAnsi="Arial" w:cs="Arial"/>
          <w:bCs/>
          <w:sz w:val="18"/>
          <w:szCs w:val="18"/>
        </w:rPr>
        <w:t xml:space="preserve"> and the wells washed. Next, a solution of TMB Reagent is then added and incubated at room temperature, resulting in the development of blue color. The reaction is stopped after specified time with stop solution and absorbance is determined for each well using an ELISA reader. The intensity of the color formed is proportional to the amount of enzyme present and is inversely related to the amount of unlabeled testosterone in the sample. A standard curve is obtained by plotting the concentration of the standard versus the absorbance. The Testosterone concentration of the specimens and controls run concurrently with the standards can be calculated from the standard curve.</w:t>
      </w:r>
    </w:p>
    <w:p w14:paraId="479896D2" w14:textId="77777777" w:rsidR="00694A80" w:rsidRDefault="00694A80">
      <w:pPr>
        <w:tabs>
          <w:tab w:val="left" w:pos="426"/>
        </w:tabs>
        <w:ind w:left="720"/>
        <w:jc w:val="both"/>
        <w:rPr>
          <w:rFonts w:ascii="Arial" w:hAnsi="Arial" w:cs="Arial"/>
          <w:bCs/>
          <w:sz w:val="18"/>
          <w:szCs w:val="18"/>
        </w:rPr>
      </w:pPr>
    </w:p>
    <w:p w14:paraId="43DED91F" w14:textId="77777777" w:rsidR="00694A80" w:rsidRDefault="00000000">
      <w:pPr>
        <w:tabs>
          <w:tab w:val="left" w:pos="426"/>
        </w:tabs>
        <w:ind w:left="720" w:hanging="294"/>
        <w:jc w:val="both"/>
        <w:rPr>
          <w:rFonts w:ascii="Arial" w:hAnsi="Arial" w:cs="Arial"/>
          <w:bCs/>
          <w:sz w:val="18"/>
          <w:szCs w:val="18"/>
        </w:rPr>
      </w:pPr>
      <w:r>
        <w:rPr>
          <w:rFonts w:ascii="Arial" w:hAnsi="Arial" w:cs="Arial"/>
          <w:bCs/>
          <w:sz w:val="18"/>
          <w:szCs w:val="18"/>
        </w:rPr>
        <w:t>MATERIALS AND COMPONENTS</w:t>
      </w:r>
    </w:p>
    <w:p w14:paraId="573C4424" w14:textId="77777777" w:rsidR="00694A80" w:rsidRDefault="00000000">
      <w:pPr>
        <w:tabs>
          <w:tab w:val="left" w:pos="360"/>
        </w:tabs>
        <w:ind w:left="426" w:hanging="66"/>
        <w:jc w:val="both"/>
        <w:rPr>
          <w:rFonts w:ascii="Arial" w:hAnsi="Arial" w:cs="Arial"/>
          <w:bCs/>
          <w:sz w:val="18"/>
          <w:szCs w:val="18"/>
        </w:rPr>
      </w:pPr>
      <w:r>
        <w:rPr>
          <w:rFonts w:ascii="Arial" w:hAnsi="Arial" w:cs="Arial"/>
          <w:bCs/>
          <w:sz w:val="18"/>
          <w:szCs w:val="18"/>
        </w:rPr>
        <w:tab/>
        <w:t>Materials provided with the test kits:</w:t>
      </w:r>
    </w:p>
    <w:p w14:paraId="3E0EF6AA"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Coated Microwells: Microwells coated with Goat Anti-Rabbit IgG.</w:t>
      </w:r>
    </w:p>
    <w:p w14:paraId="5F19AC93"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Rabbit Anti-Testosterone Reagent. Ready to use</w:t>
      </w:r>
    </w:p>
    <w:p w14:paraId="76FE74EA"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Testosterone-HRP Conjugate Reagent.</w:t>
      </w:r>
    </w:p>
    <w:p w14:paraId="1AD83C55"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TMB Substrate. Ready to use</w:t>
      </w:r>
    </w:p>
    <w:p w14:paraId="748F3E26"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Stop Solution. Ready to use</w:t>
      </w:r>
    </w:p>
    <w:p w14:paraId="36503DA1"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Testosterone Standard set of 6 standards labeled as A to F in liquid form. Ready to use. For standard Concentrations refer vial label.</w:t>
      </w:r>
    </w:p>
    <w:p w14:paraId="3F590CD9"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Wash Buffer Concentrate (20X).</w:t>
      </w:r>
    </w:p>
    <w:p w14:paraId="564EC5FC"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Control Set</w:t>
      </w:r>
    </w:p>
    <w:p w14:paraId="270E36A1"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Pack Insert</w:t>
      </w:r>
    </w:p>
    <w:p w14:paraId="67528F69"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Plate Sealer</w:t>
      </w:r>
    </w:p>
    <w:p w14:paraId="65548F93"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Protocol Sheet</w:t>
      </w:r>
    </w:p>
    <w:p w14:paraId="7814F1D6" w14:textId="77777777" w:rsidR="00694A80" w:rsidRDefault="00000000">
      <w:pPr>
        <w:pStyle w:val="ListParagraph"/>
        <w:numPr>
          <w:ilvl w:val="0"/>
          <w:numId w:val="1"/>
        </w:numPr>
        <w:tabs>
          <w:tab w:val="left" w:pos="360"/>
        </w:tabs>
        <w:rPr>
          <w:rFonts w:ascii="Arial" w:hAnsi="Arial" w:cs="Arial"/>
          <w:bCs/>
          <w:sz w:val="18"/>
          <w:szCs w:val="18"/>
        </w:rPr>
      </w:pPr>
      <w:r>
        <w:rPr>
          <w:rFonts w:ascii="Arial" w:hAnsi="Arial" w:cs="Arial"/>
          <w:bCs/>
          <w:sz w:val="18"/>
          <w:szCs w:val="18"/>
        </w:rPr>
        <w:t>Microwell Holder</w:t>
      </w:r>
    </w:p>
    <w:p w14:paraId="568E8D1C" w14:textId="77777777" w:rsidR="00694A80" w:rsidRDefault="00000000">
      <w:pPr>
        <w:tabs>
          <w:tab w:val="left" w:pos="360"/>
        </w:tabs>
        <w:ind w:left="720" w:hanging="360"/>
        <w:rPr>
          <w:rFonts w:ascii="Arial" w:hAnsi="Arial" w:cs="Arial"/>
          <w:bCs/>
          <w:sz w:val="18"/>
          <w:szCs w:val="18"/>
        </w:rPr>
      </w:pPr>
      <w:r>
        <w:rPr>
          <w:rFonts w:ascii="Arial" w:hAnsi="Arial" w:cs="Arial"/>
          <w:bCs/>
          <w:sz w:val="18"/>
          <w:szCs w:val="18"/>
        </w:rPr>
        <w:t>Materials required but not provided</w:t>
      </w:r>
    </w:p>
    <w:p w14:paraId="35C85A71" w14:textId="77777777" w:rsidR="00694A80" w:rsidRDefault="00000000">
      <w:pPr>
        <w:pStyle w:val="ListParagraph"/>
        <w:numPr>
          <w:ilvl w:val="0"/>
          <w:numId w:val="2"/>
        </w:numPr>
        <w:tabs>
          <w:tab w:val="left" w:pos="360"/>
        </w:tabs>
        <w:rPr>
          <w:rFonts w:ascii="Arial" w:hAnsi="Arial" w:cs="Arial"/>
          <w:bCs/>
          <w:sz w:val="18"/>
          <w:szCs w:val="18"/>
        </w:rPr>
      </w:pPr>
      <w:r>
        <w:rPr>
          <w:rFonts w:ascii="Arial" w:hAnsi="Arial" w:cs="Arial"/>
          <w:bCs/>
          <w:sz w:val="18"/>
          <w:szCs w:val="18"/>
        </w:rPr>
        <w:t>Precision pipettes: 10µl, 20-200µl, 100-1000µl</w:t>
      </w:r>
    </w:p>
    <w:p w14:paraId="624270C6" w14:textId="77777777" w:rsidR="00694A80" w:rsidRDefault="00000000">
      <w:pPr>
        <w:pStyle w:val="ListParagraph"/>
        <w:numPr>
          <w:ilvl w:val="0"/>
          <w:numId w:val="2"/>
        </w:numPr>
        <w:tabs>
          <w:tab w:val="left" w:pos="360"/>
        </w:tabs>
        <w:rPr>
          <w:rFonts w:ascii="Arial" w:hAnsi="Arial" w:cs="Arial"/>
          <w:bCs/>
          <w:sz w:val="18"/>
          <w:szCs w:val="18"/>
        </w:rPr>
      </w:pPr>
      <w:r>
        <w:rPr>
          <w:rFonts w:ascii="Arial" w:hAnsi="Arial" w:cs="Arial"/>
          <w:bCs/>
          <w:sz w:val="18"/>
          <w:szCs w:val="18"/>
        </w:rPr>
        <w:t>Disposable pipette tips</w:t>
      </w:r>
    </w:p>
    <w:p w14:paraId="29ED3FF6" w14:textId="77777777" w:rsidR="00694A80" w:rsidRDefault="00000000">
      <w:pPr>
        <w:pStyle w:val="ListParagraph"/>
        <w:numPr>
          <w:ilvl w:val="0"/>
          <w:numId w:val="2"/>
        </w:numPr>
        <w:tabs>
          <w:tab w:val="left" w:pos="360"/>
        </w:tabs>
        <w:rPr>
          <w:rFonts w:ascii="Arial" w:hAnsi="Arial" w:cs="Arial"/>
          <w:bCs/>
          <w:sz w:val="18"/>
          <w:szCs w:val="18"/>
        </w:rPr>
      </w:pPr>
      <w:r>
        <w:rPr>
          <w:rFonts w:ascii="Arial" w:hAnsi="Arial" w:cs="Arial"/>
          <w:bCs/>
          <w:sz w:val="18"/>
          <w:szCs w:val="18"/>
        </w:rPr>
        <w:t>Distilled water</w:t>
      </w:r>
    </w:p>
    <w:p w14:paraId="0DBB86A7" w14:textId="77777777" w:rsidR="00694A80" w:rsidRDefault="00000000">
      <w:pPr>
        <w:pStyle w:val="ListParagraph"/>
        <w:numPr>
          <w:ilvl w:val="0"/>
          <w:numId w:val="2"/>
        </w:numPr>
        <w:tabs>
          <w:tab w:val="left" w:pos="360"/>
        </w:tabs>
        <w:rPr>
          <w:rFonts w:ascii="Arial" w:hAnsi="Arial" w:cs="Arial"/>
          <w:bCs/>
          <w:sz w:val="18"/>
          <w:szCs w:val="18"/>
        </w:rPr>
      </w:pPr>
      <w:r>
        <w:rPr>
          <w:rFonts w:ascii="Arial" w:hAnsi="Arial" w:cs="Arial"/>
          <w:bCs/>
          <w:sz w:val="18"/>
          <w:szCs w:val="18"/>
        </w:rPr>
        <w:t>Disposable Gloves</w:t>
      </w:r>
    </w:p>
    <w:p w14:paraId="6E2976AD" w14:textId="77777777" w:rsidR="00694A80" w:rsidRDefault="00000000">
      <w:pPr>
        <w:pStyle w:val="ListParagraph"/>
        <w:numPr>
          <w:ilvl w:val="0"/>
          <w:numId w:val="2"/>
        </w:numPr>
        <w:tabs>
          <w:tab w:val="left" w:pos="360"/>
        </w:tabs>
        <w:rPr>
          <w:rFonts w:ascii="Arial" w:hAnsi="Arial" w:cs="Arial"/>
          <w:bCs/>
          <w:sz w:val="18"/>
          <w:szCs w:val="18"/>
        </w:rPr>
      </w:pPr>
      <w:r>
        <w:rPr>
          <w:rFonts w:ascii="Arial" w:hAnsi="Arial" w:cs="Arial"/>
          <w:bCs/>
          <w:sz w:val="18"/>
          <w:szCs w:val="18"/>
        </w:rPr>
        <w:t>ELISA reader</w:t>
      </w:r>
    </w:p>
    <w:p w14:paraId="47BACC06" w14:textId="77777777" w:rsidR="00694A80" w:rsidRDefault="00000000">
      <w:pPr>
        <w:pStyle w:val="ListParagraph"/>
        <w:numPr>
          <w:ilvl w:val="0"/>
          <w:numId w:val="2"/>
        </w:numPr>
        <w:tabs>
          <w:tab w:val="left" w:pos="360"/>
        </w:tabs>
        <w:rPr>
          <w:rFonts w:ascii="Arial" w:hAnsi="Arial" w:cs="Arial"/>
          <w:bCs/>
          <w:sz w:val="18"/>
          <w:szCs w:val="18"/>
        </w:rPr>
      </w:pPr>
      <w:r>
        <w:rPr>
          <w:rFonts w:ascii="Arial" w:hAnsi="Arial" w:cs="Arial"/>
          <w:bCs/>
          <w:sz w:val="18"/>
          <w:szCs w:val="18"/>
        </w:rPr>
        <w:t>ELISA washer</w:t>
      </w:r>
    </w:p>
    <w:p w14:paraId="6431E1B6" w14:textId="77777777" w:rsidR="00694A80" w:rsidRDefault="00694A80">
      <w:pPr>
        <w:tabs>
          <w:tab w:val="left" w:pos="360"/>
        </w:tabs>
        <w:ind w:left="720" w:hanging="360"/>
        <w:jc w:val="both"/>
        <w:rPr>
          <w:rFonts w:ascii="Arial" w:hAnsi="Arial" w:cs="Arial"/>
          <w:bCs/>
          <w:sz w:val="18"/>
          <w:szCs w:val="18"/>
        </w:rPr>
      </w:pPr>
    </w:p>
    <w:p w14:paraId="68ACF3A8"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STORAGE AND STABILITY</w:t>
      </w:r>
    </w:p>
    <w:p w14:paraId="4E0C6D7D"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Testosterone 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w:t>
      </w:r>
    </w:p>
    <w:p w14:paraId="4DD13F1C"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time of opening the pouch, another coated microwells pouch should be used.</w:t>
      </w:r>
    </w:p>
    <w:p w14:paraId="6F6EE1D2"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Diluted Wash Buffer is stable for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w:t>
      </w:r>
    </w:p>
    <w:p w14:paraId="0BDA2E87" w14:textId="77777777" w:rsidR="00694A80" w:rsidRDefault="00694A80">
      <w:pPr>
        <w:tabs>
          <w:tab w:val="left" w:pos="360"/>
        </w:tabs>
        <w:ind w:left="720" w:hanging="360"/>
        <w:jc w:val="both"/>
        <w:rPr>
          <w:rFonts w:ascii="Arial" w:hAnsi="Arial" w:cs="Arial"/>
          <w:bCs/>
          <w:sz w:val="18"/>
          <w:szCs w:val="18"/>
        </w:rPr>
      </w:pPr>
    </w:p>
    <w:p w14:paraId="4C37A09F"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SPECIMEN COLLECTION</w:t>
      </w:r>
    </w:p>
    <w:p w14:paraId="0D19DAB7"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Collect Blood specimen by venipuncture according to standard procedure.</w:t>
      </w:r>
    </w:p>
    <w:p w14:paraId="33E867FC"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Only serum should be used.</w:t>
      </w:r>
    </w:p>
    <w:p w14:paraId="75EA0FA7"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Avoid grossly hemolytic, lipemic or turbid samples. </w:t>
      </w:r>
    </w:p>
    <w:p w14:paraId="2F676318"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Preferably use fresh samples. However, specimens can be stored up to 48 hours at 2-8°C. </w:t>
      </w:r>
    </w:p>
    <w:p w14:paraId="2C515913"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For longer storage, specimens can be frozen at -20°C. Thawed samples must be mixed prior to testing.</w:t>
      </w:r>
    </w:p>
    <w:p w14:paraId="47D30113"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Do not heat inactivate before use.</w:t>
      </w:r>
    </w:p>
    <w:p w14:paraId="04DD0136"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lastRenderedPageBreak/>
        <w:t>7.</w:t>
      </w:r>
      <w:r>
        <w:rPr>
          <w:rFonts w:ascii="Arial" w:hAnsi="Arial" w:cs="Arial"/>
          <w:bCs/>
          <w:sz w:val="18"/>
          <w:szCs w:val="18"/>
        </w:rPr>
        <w:tab/>
        <w:t>Specimen containing precipitate or particulate matter should be clarified by centrifugation prior to use.</w:t>
      </w:r>
    </w:p>
    <w:p w14:paraId="2D8416C9"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Specimen should be free from particulate matter and microbial contamination.</w:t>
      </w:r>
    </w:p>
    <w:p w14:paraId="3F6AF044" w14:textId="77777777" w:rsidR="00694A80" w:rsidRDefault="00694A80">
      <w:pPr>
        <w:tabs>
          <w:tab w:val="left" w:pos="360"/>
        </w:tabs>
        <w:ind w:left="720" w:hanging="360"/>
        <w:jc w:val="both"/>
        <w:rPr>
          <w:rFonts w:ascii="Arial" w:hAnsi="Arial" w:cs="Arial"/>
          <w:bCs/>
          <w:sz w:val="18"/>
          <w:szCs w:val="18"/>
        </w:rPr>
      </w:pPr>
    </w:p>
    <w:p w14:paraId="049032FA"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PRECAUTIONS</w:t>
      </w:r>
    </w:p>
    <w:p w14:paraId="2B00653B"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Bring all reagents and specimen to room temperature before use. </w:t>
      </w:r>
    </w:p>
    <w:p w14:paraId="49385C0E"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Do not pipette any material by mouth. </w:t>
      </w:r>
    </w:p>
    <w:p w14:paraId="123053D7"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Do not eat, drink or smoke in the area where testing is done. </w:t>
      </w:r>
    </w:p>
    <w:p w14:paraId="630D0EE8"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Use protective clothing and wear gloves when handling samples. </w:t>
      </w:r>
    </w:p>
    <w:p w14:paraId="0701D624"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 xml:space="preserve">Use absorbent sheet to cover the working area. </w:t>
      </w:r>
    </w:p>
    <w:p w14:paraId="6C80E038"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Immediately clean up any spills with sodium hypochlorite.</w:t>
      </w:r>
    </w:p>
    <w:p w14:paraId="2726A694"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 xml:space="preserve">All specimens and controls should be considered potentially infectious and discarded appropriately. </w:t>
      </w:r>
    </w:p>
    <w:p w14:paraId="10D13457"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 xml:space="preserve">Neutralize acid containing waste before adding hypochlorite. </w:t>
      </w:r>
    </w:p>
    <w:p w14:paraId="44D1A667"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 xml:space="preserve">Do not use kit after the expiry date. </w:t>
      </w:r>
    </w:p>
    <w:p w14:paraId="39E98B1F"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10.</w:t>
      </w:r>
      <w:r>
        <w:rPr>
          <w:rFonts w:ascii="Arial" w:hAnsi="Arial" w:cs="Arial"/>
          <w:bCs/>
          <w:sz w:val="18"/>
          <w:szCs w:val="18"/>
        </w:rPr>
        <w:tab/>
        <w:t>Do not mix components of one kit with another.</w:t>
      </w:r>
    </w:p>
    <w:p w14:paraId="4F8AE599"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11.</w:t>
      </w:r>
      <w:r>
        <w:rPr>
          <w:rFonts w:ascii="Arial" w:hAnsi="Arial" w:cs="Arial"/>
          <w:bCs/>
          <w:sz w:val="18"/>
          <w:szCs w:val="18"/>
        </w:rPr>
        <w:tab/>
        <w:t xml:space="preserve">Always use new tip for each specimen and reagent. </w:t>
      </w:r>
    </w:p>
    <w:p w14:paraId="1E970769" w14:textId="77777777" w:rsidR="00694A80" w:rsidRDefault="00694A80">
      <w:pPr>
        <w:tabs>
          <w:tab w:val="left" w:pos="360"/>
        </w:tabs>
        <w:ind w:left="720" w:hanging="360"/>
        <w:jc w:val="both"/>
        <w:rPr>
          <w:rFonts w:ascii="Arial" w:hAnsi="Arial" w:cs="Arial"/>
          <w:bCs/>
          <w:sz w:val="18"/>
          <w:szCs w:val="18"/>
        </w:rPr>
      </w:pPr>
    </w:p>
    <w:p w14:paraId="2303FF0B"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REAGENT PREPARATION</w:t>
      </w:r>
    </w:p>
    <w:p w14:paraId="6B5C0FCD"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All reagents should be brought to room temperature (18-25°C) and mixed by gently inverting or swirling prior to use. Do not induce foaming.</w:t>
      </w:r>
    </w:p>
    <w:p w14:paraId="45D71E43"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Dilute Wash Buffer 20 times (for example add 5ml concentrated buffer to 95 ml distilled or deionized water). Mix well before use. </w:t>
      </w:r>
    </w:p>
    <w:p w14:paraId="68B0D4AB" w14:textId="77777777" w:rsidR="00694A80" w:rsidRDefault="00694A80">
      <w:pPr>
        <w:tabs>
          <w:tab w:val="left" w:pos="360"/>
        </w:tabs>
        <w:ind w:left="720" w:hanging="360"/>
        <w:jc w:val="both"/>
        <w:rPr>
          <w:rFonts w:ascii="Arial" w:hAnsi="Arial" w:cs="Arial"/>
          <w:bCs/>
          <w:sz w:val="18"/>
          <w:szCs w:val="18"/>
        </w:rPr>
      </w:pPr>
    </w:p>
    <w:p w14:paraId="62DB8646"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TEST PROCEDURE</w:t>
      </w:r>
    </w:p>
    <w:p w14:paraId="1ABB29B0"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Secure the desired number of coated wells in the holder. Dispense 10 µl of standards, controls and sera into the appropriate wells.</w:t>
      </w:r>
    </w:p>
    <w:p w14:paraId="193AFAE3"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Dispense 50 µl of rabbit anti-testosterone reagent into each well and mix thoroughly for 30 seconds, followed by 100 µl of testosterone-HRP Conjugate into each well and mix thoroughly for 30 seconds. </w:t>
      </w:r>
    </w:p>
    <w:p w14:paraId="06B7A7EA"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Incubate at 37°C for 60 minutes. </w:t>
      </w:r>
    </w:p>
    <w:p w14:paraId="4EB1807E"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0A9B3C5E"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Dispense 100 µl of TMB substrate into each well. Incubate at room temperature (18-25°C), in the dark, for 20 minutes.</w:t>
      </w:r>
    </w:p>
    <w:p w14:paraId="0067866B"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Stop the reaction by adding 100 µl of Stop Solution to each well. Gently mix for 10 seconds until the blue color completely changes to yellow.</w:t>
      </w:r>
    </w:p>
    <w:p w14:paraId="1E9C670D" w14:textId="77777777" w:rsidR="00694A80"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Read the optical density at 450/630 nm with a microtiter plate reader within 15 minutes.</w:t>
      </w:r>
    </w:p>
    <w:p w14:paraId="712A2FB1" w14:textId="77777777" w:rsidR="00694A80" w:rsidRDefault="00694A80">
      <w:pPr>
        <w:tabs>
          <w:tab w:val="left" w:pos="360"/>
        </w:tabs>
        <w:ind w:left="720" w:hanging="360"/>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694A80" w14:paraId="66B5F5A9" w14:textId="77777777">
        <w:trPr>
          <w:trHeight w:val="360"/>
        </w:trPr>
        <w:tc>
          <w:tcPr>
            <w:tcW w:w="3546" w:type="dxa"/>
            <w:shd w:val="clear" w:color="auto" w:fill="auto"/>
          </w:tcPr>
          <w:p w14:paraId="7A749CF2" w14:textId="77777777" w:rsidR="00694A80" w:rsidRDefault="00000000">
            <w:pPr>
              <w:tabs>
                <w:tab w:val="left" w:pos="360"/>
              </w:tabs>
              <w:jc w:val="both"/>
              <w:rPr>
                <w:rFonts w:ascii="Arial" w:hAnsi="Arial" w:cs="Arial"/>
                <w:bCs/>
                <w:sz w:val="18"/>
                <w:szCs w:val="18"/>
                <w:lang w:val="en-GB"/>
              </w:rPr>
            </w:pPr>
            <w:r>
              <w:rPr>
                <w:rFonts w:ascii="Arial" w:hAnsi="Arial" w:cs="Arial"/>
                <w:bCs/>
                <w:sz w:val="18"/>
                <w:szCs w:val="18"/>
              </w:rPr>
              <w:t>Add 10 µl standards/controls/samples into the respective Microwell</w:t>
            </w:r>
            <w:r>
              <w:rPr>
                <w:rFonts w:ascii="Arial" w:hAnsi="Arial" w:cs="Arial"/>
                <w:bCs/>
                <w:sz w:val="18"/>
                <w:szCs w:val="18"/>
                <w:lang w:val="en-GB"/>
              </w:rPr>
              <w:t>s</w:t>
            </w:r>
          </w:p>
        </w:tc>
      </w:tr>
    </w:tbl>
    <w:p w14:paraId="6D9E3713" w14:textId="77777777" w:rsidR="00694A80"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0F0B9478" wp14:editId="4A4B87D3">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69B3B635" w14:textId="77777777" w:rsidR="00694A80" w:rsidRDefault="00694A80">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94A80" w14:paraId="7F03FAB2" w14:textId="77777777">
        <w:trPr>
          <w:trHeight w:val="275"/>
        </w:trPr>
        <w:tc>
          <w:tcPr>
            <w:tcW w:w="3604" w:type="dxa"/>
            <w:shd w:val="clear" w:color="auto" w:fill="auto"/>
          </w:tcPr>
          <w:p w14:paraId="2E61F515" w14:textId="77777777" w:rsidR="00694A80" w:rsidRDefault="00000000">
            <w:pPr>
              <w:tabs>
                <w:tab w:val="left" w:pos="360"/>
              </w:tabs>
              <w:jc w:val="both"/>
              <w:rPr>
                <w:rFonts w:ascii="Arial" w:hAnsi="Arial" w:cs="Arial"/>
                <w:bCs/>
                <w:sz w:val="18"/>
                <w:szCs w:val="18"/>
              </w:rPr>
            </w:pPr>
            <w:r>
              <w:rPr>
                <w:rFonts w:ascii="Arial" w:hAnsi="Arial" w:cs="Arial"/>
                <w:bCs/>
                <w:sz w:val="18"/>
                <w:szCs w:val="18"/>
              </w:rPr>
              <w:t>Add 50 µl of rabbit anti-testosterone in each well</w:t>
            </w:r>
          </w:p>
        </w:tc>
      </w:tr>
    </w:tbl>
    <w:p w14:paraId="56B57739" w14:textId="77777777" w:rsidR="00694A80"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4EA68763" wp14:editId="65A4C3B8">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0AABA997" w14:textId="77777777" w:rsidR="00694A80" w:rsidRDefault="00694A80">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94A80" w14:paraId="69AE9B24" w14:textId="77777777">
        <w:trPr>
          <w:trHeight w:val="376"/>
        </w:trPr>
        <w:tc>
          <w:tcPr>
            <w:tcW w:w="3604" w:type="dxa"/>
            <w:shd w:val="clear" w:color="auto" w:fill="auto"/>
          </w:tcPr>
          <w:p w14:paraId="7695BE33" w14:textId="77777777" w:rsidR="00694A80" w:rsidRDefault="00000000">
            <w:pPr>
              <w:tabs>
                <w:tab w:val="left" w:pos="360"/>
              </w:tabs>
              <w:jc w:val="both"/>
              <w:rPr>
                <w:rFonts w:ascii="Arial" w:hAnsi="Arial" w:cs="Arial"/>
                <w:bCs/>
                <w:i/>
                <w:iCs/>
                <w:sz w:val="18"/>
                <w:szCs w:val="18"/>
              </w:rPr>
            </w:pPr>
            <w:r>
              <w:rPr>
                <w:rFonts w:ascii="Arial" w:hAnsi="Arial" w:cs="Arial"/>
                <w:bCs/>
                <w:sz w:val="18"/>
                <w:szCs w:val="18"/>
              </w:rPr>
              <w:t>Add 100 µl of Testosterone-HRP conjugate in each well</w:t>
            </w:r>
          </w:p>
        </w:tc>
      </w:tr>
    </w:tbl>
    <w:p w14:paraId="6A82B494" w14:textId="77777777" w:rsidR="00694A80"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7CF5531D" wp14:editId="6A82879A">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pt;margin-top:0.8pt;height:21pt;width:6pt;z-index:251664384;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33567F50" w14:textId="77777777" w:rsidR="00694A80" w:rsidRDefault="00694A80">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94A80" w14:paraId="0C1C41D2" w14:textId="77777777">
        <w:trPr>
          <w:trHeight w:val="303"/>
        </w:trPr>
        <w:tc>
          <w:tcPr>
            <w:tcW w:w="3604" w:type="dxa"/>
            <w:shd w:val="clear" w:color="auto" w:fill="auto"/>
          </w:tcPr>
          <w:p w14:paraId="185EE8F8" w14:textId="77777777" w:rsidR="00694A80"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60 minutes at 37°C</w:t>
            </w:r>
          </w:p>
        </w:tc>
      </w:tr>
    </w:tbl>
    <w:p w14:paraId="3315D2F5" w14:textId="77777777" w:rsidR="00694A80"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2C9919C1" wp14:editId="087DCFCB">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674AC749" w14:textId="77777777" w:rsidR="00694A80" w:rsidRDefault="00694A80">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94A80" w14:paraId="4489E301" w14:textId="77777777">
        <w:tc>
          <w:tcPr>
            <w:tcW w:w="3604" w:type="dxa"/>
            <w:shd w:val="clear" w:color="auto" w:fill="auto"/>
          </w:tcPr>
          <w:p w14:paraId="3ACC23E5" w14:textId="77777777" w:rsidR="00694A80"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78D67CE5" w14:textId="77777777" w:rsidR="00694A80"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5D994795" wp14:editId="5C5BF8BE">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57824DBC" w14:textId="77777777" w:rsidR="00694A80" w:rsidRDefault="00694A80">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94A80" w14:paraId="6A07BEC4" w14:textId="77777777">
        <w:tc>
          <w:tcPr>
            <w:tcW w:w="3604" w:type="dxa"/>
            <w:shd w:val="clear" w:color="auto" w:fill="auto"/>
          </w:tcPr>
          <w:p w14:paraId="3CECF88B" w14:textId="77777777" w:rsidR="00694A80"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462E4FFA" w14:textId="77777777" w:rsidR="00694A80"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4F627427" wp14:editId="0F0EE1ED">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2.75pt;margin-top:0.3pt;height:21pt;width:6pt;z-index:251663360;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79BEFD70" w14:textId="77777777" w:rsidR="00694A80" w:rsidRDefault="00694A80">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94A80" w14:paraId="39C4DCB7" w14:textId="77777777">
        <w:trPr>
          <w:trHeight w:val="303"/>
        </w:trPr>
        <w:tc>
          <w:tcPr>
            <w:tcW w:w="3604" w:type="dxa"/>
            <w:shd w:val="clear" w:color="auto" w:fill="auto"/>
          </w:tcPr>
          <w:p w14:paraId="2F0DA6CD" w14:textId="77777777" w:rsidR="00694A80" w:rsidRDefault="00000000">
            <w:pPr>
              <w:tabs>
                <w:tab w:val="left" w:pos="360"/>
              </w:tabs>
              <w:jc w:val="both"/>
              <w:rPr>
                <w:rFonts w:ascii="Arial" w:hAnsi="Arial" w:cs="Arial"/>
                <w:bCs/>
                <w:sz w:val="18"/>
                <w:szCs w:val="18"/>
              </w:rPr>
            </w:pPr>
            <w:r>
              <w:rPr>
                <w:rFonts w:ascii="Arial" w:hAnsi="Arial" w:cs="Arial"/>
                <w:bCs/>
                <w:sz w:val="18"/>
                <w:szCs w:val="18"/>
              </w:rPr>
              <w:t>Incubate for 20 Minutes at 18-25°C in dark</w:t>
            </w:r>
          </w:p>
        </w:tc>
      </w:tr>
    </w:tbl>
    <w:p w14:paraId="505434F1" w14:textId="77777777" w:rsidR="00694A80"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48FDE7D6" wp14:editId="4FB3D30F">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3.5pt;margin-top:0.1pt;height:21pt;width:6pt;z-index:251666432;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EzLQU1QAAAAcBAAAPAAAAAAAAAAEAIAAA&#10;ACIAAABkcnMvZG93bnJldi54bWxQSwECFAAUAAAACACHTuJAPZ7ih0gCAADR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497FE0EF" w14:textId="77777777" w:rsidR="00694A80"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7456" behindDoc="0" locked="0" layoutInCell="1" allowOverlap="1" wp14:anchorId="40B4C9E1" wp14:editId="72B19800">
                <wp:simplePos x="0" y="0"/>
                <wp:positionH relativeFrom="column">
                  <wp:posOffset>1329055</wp:posOffset>
                </wp:positionH>
                <wp:positionV relativeFrom="paragraph">
                  <wp:posOffset>297180</wp:posOffset>
                </wp:positionV>
                <wp:extent cx="76200" cy="266700"/>
                <wp:effectExtent l="19050" t="0" r="38100" b="38100"/>
                <wp:wrapNone/>
                <wp:docPr id="2078938693"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4.65pt;margin-top:23.4pt;height:21pt;width:6pt;z-index:251667456;mso-width-relative:page;mso-height-relative:page;" fillcolor="#000000" filled="t" stroked="t" coordsize="21600,21600" o:gfxdata="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B2QTftgAAAAJAQAADwAAAAAAAAAB&#10;ACAAAAAiAAAAZHJzL2Rvd25yZXYueG1sUEsBAhQAFAAAAAgAh07iQHjanXBJAgAA0gQAAA4AAAAA&#10;AAAAAQAgAAAAJwEAAGRycy9lMm9Eb2MueG1sUEsFBgAAAAAGAAYAWQEAAOIFAAAAAA==&#10;" adj="16200,5400">
                <v:fill on="t" focussize="0,0"/>
                <v:stroke color="#000000" miterlimit="8" joinstyle="miter"/>
                <v:imagedata o:title=""/>
                <o:lock v:ext="edit" aspectratio="f"/>
                <v:textbox style="layout-flow:vertical-ideographic;"/>
              </v:shape>
            </w:pict>
          </mc:Fallback>
        </mc:AlternateContent>
      </w: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94A80" w14:paraId="74273E4C" w14:textId="77777777">
        <w:tc>
          <w:tcPr>
            <w:tcW w:w="3604" w:type="dxa"/>
            <w:shd w:val="clear" w:color="auto" w:fill="auto"/>
          </w:tcPr>
          <w:p w14:paraId="49E5136E" w14:textId="77777777" w:rsidR="00694A80"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208DD38F" w14:textId="77777777" w:rsidR="00694A80" w:rsidRDefault="00694A80">
      <w:pPr>
        <w:tabs>
          <w:tab w:val="left" w:pos="360"/>
        </w:tabs>
        <w:ind w:left="360" w:hanging="360"/>
        <w:jc w:val="both"/>
        <w:rPr>
          <w:rFonts w:ascii="Arial" w:hAnsi="Arial" w:cs="Arial"/>
          <w:bCs/>
          <w:sz w:val="18"/>
          <w:szCs w:val="18"/>
        </w:rPr>
      </w:pPr>
    </w:p>
    <w:p w14:paraId="7BF9E8CA" w14:textId="77777777" w:rsidR="00694A80" w:rsidRDefault="00694A80">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694A80" w14:paraId="5711145F" w14:textId="77777777">
        <w:tc>
          <w:tcPr>
            <w:tcW w:w="3604" w:type="dxa"/>
            <w:shd w:val="clear" w:color="auto" w:fill="auto"/>
          </w:tcPr>
          <w:p w14:paraId="3D649767" w14:textId="77777777" w:rsidR="00694A80"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45476511" w14:textId="77777777" w:rsidR="00694A80" w:rsidRDefault="00694A80">
      <w:pPr>
        <w:tabs>
          <w:tab w:val="left" w:pos="360"/>
        </w:tabs>
        <w:ind w:left="360" w:hanging="360"/>
        <w:jc w:val="both"/>
        <w:rPr>
          <w:rFonts w:ascii="Arial" w:hAnsi="Arial" w:cs="Arial"/>
          <w:bCs/>
          <w:sz w:val="18"/>
          <w:szCs w:val="18"/>
        </w:rPr>
      </w:pPr>
    </w:p>
    <w:p w14:paraId="5EFD0DDF" w14:textId="77777777" w:rsidR="00694A80"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2D0A15E7" w14:textId="77777777" w:rsidR="00694A80" w:rsidRDefault="00000000">
      <w:pPr>
        <w:tabs>
          <w:tab w:val="left" w:pos="360"/>
        </w:tabs>
        <w:jc w:val="both"/>
        <w:rPr>
          <w:rFonts w:ascii="Arial" w:hAnsi="Arial" w:cs="Arial"/>
          <w:bCs/>
          <w:sz w:val="18"/>
          <w:szCs w:val="18"/>
        </w:rPr>
      </w:pPr>
      <w:r>
        <w:rPr>
          <w:rFonts w:ascii="Arial" w:hAnsi="Arial" w:cs="Arial"/>
          <w:bCs/>
          <w:sz w:val="18"/>
          <w:szCs w:val="18"/>
        </w:rPr>
        <w:t>Construct a standard curve by plotting the absorbance obtained from each reference standard against its concentration in ng/ml on the graph paper, with absorbance values on the vertical or Y axis and concentrations on the horizontal or X axis.  Use the absorbance values for each specimen to determine the corresponding concentration of testosterone in ng/ml from the standard curve.  Any diluted specimens must be corrected by the appropriate dilution factor.</w:t>
      </w:r>
    </w:p>
    <w:p w14:paraId="76F71C5A" w14:textId="77777777" w:rsidR="00694A80" w:rsidRDefault="00694A80">
      <w:pPr>
        <w:tabs>
          <w:tab w:val="left" w:pos="360"/>
        </w:tabs>
        <w:jc w:val="both"/>
        <w:rPr>
          <w:rFonts w:ascii="Arial" w:hAnsi="Arial" w:cs="Arial"/>
          <w:bCs/>
          <w:sz w:val="18"/>
          <w:szCs w:val="18"/>
        </w:rPr>
      </w:pPr>
    </w:p>
    <w:p w14:paraId="010795F2" w14:textId="77777777" w:rsidR="00694A80" w:rsidRDefault="00000000">
      <w:pPr>
        <w:tabs>
          <w:tab w:val="left" w:pos="360"/>
        </w:tabs>
        <w:jc w:val="both"/>
        <w:rPr>
          <w:rFonts w:ascii="Arial" w:hAnsi="Arial" w:cs="Arial"/>
          <w:bCs/>
          <w:sz w:val="18"/>
          <w:szCs w:val="18"/>
        </w:rPr>
      </w:pPr>
      <w:r>
        <w:rPr>
          <w:rFonts w:ascii="Arial" w:hAnsi="Arial" w:cs="Arial"/>
          <w:bCs/>
          <w:sz w:val="18"/>
          <w:szCs w:val="18"/>
        </w:rPr>
        <w:t>Example of Standard curve</w:t>
      </w:r>
    </w:p>
    <w:p w14:paraId="1B101219" w14:textId="77777777" w:rsidR="00694A80" w:rsidRDefault="00000000">
      <w:pPr>
        <w:tabs>
          <w:tab w:val="left" w:pos="360"/>
        </w:tabs>
        <w:jc w:val="both"/>
        <w:rPr>
          <w:rFonts w:ascii="Arial" w:hAnsi="Arial" w:cs="Arial"/>
          <w:bCs/>
          <w:sz w:val="18"/>
          <w:szCs w:val="18"/>
        </w:rPr>
      </w:pPr>
      <w:r>
        <w:rPr>
          <w:rFonts w:ascii="Arial" w:hAnsi="Arial" w:cs="Arial"/>
          <w:bCs/>
          <w:sz w:val="18"/>
          <w:szCs w:val="18"/>
        </w:rPr>
        <w:t xml:space="preserve">Results of a typical standard run with optical density reading at 450nm (ref 600 – 700nm) shown in the Y axis against testosterone concentrations shown in the X axis. </w:t>
      </w:r>
    </w:p>
    <w:p w14:paraId="529310DD" w14:textId="77777777" w:rsidR="00694A80" w:rsidRDefault="00694A80">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980"/>
        <w:gridCol w:w="1850"/>
      </w:tblGrid>
      <w:tr w:rsidR="00694A80" w14:paraId="433BB77F" w14:textId="77777777">
        <w:tc>
          <w:tcPr>
            <w:tcW w:w="1980" w:type="dxa"/>
          </w:tcPr>
          <w:p w14:paraId="6EFAD413" w14:textId="77777777" w:rsidR="00694A80" w:rsidRDefault="00000000">
            <w:pPr>
              <w:tabs>
                <w:tab w:val="left" w:pos="360"/>
              </w:tabs>
              <w:jc w:val="both"/>
              <w:rPr>
                <w:rFonts w:ascii="Arial" w:hAnsi="Arial" w:cs="Arial"/>
                <w:bCs/>
                <w:sz w:val="18"/>
                <w:szCs w:val="18"/>
              </w:rPr>
            </w:pPr>
            <w:r>
              <w:rPr>
                <w:rFonts w:ascii="Arial" w:hAnsi="Arial" w:cs="Arial"/>
                <w:sz w:val="18"/>
                <w:szCs w:val="18"/>
              </w:rPr>
              <w:t>Testosterone (ng/ml)</w:t>
            </w:r>
          </w:p>
        </w:tc>
        <w:tc>
          <w:tcPr>
            <w:tcW w:w="1850" w:type="dxa"/>
          </w:tcPr>
          <w:p w14:paraId="27A6C0B5" w14:textId="77777777" w:rsidR="00694A80" w:rsidRDefault="00000000">
            <w:pPr>
              <w:tabs>
                <w:tab w:val="left" w:pos="360"/>
              </w:tabs>
              <w:jc w:val="both"/>
              <w:rPr>
                <w:rFonts w:ascii="Arial" w:hAnsi="Arial" w:cs="Arial"/>
                <w:bCs/>
                <w:sz w:val="18"/>
                <w:szCs w:val="18"/>
              </w:rPr>
            </w:pPr>
            <w:r>
              <w:rPr>
                <w:rFonts w:ascii="Arial" w:hAnsi="Arial" w:cs="Arial"/>
                <w:sz w:val="18"/>
                <w:szCs w:val="18"/>
              </w:rPr>
              <w:t>Absorbance (450nm)</w:t>
            </w:r>
          </w:p>
        </w:tc>
      </w:tr>
      <w:tr w:rsidR="00694A80" w14:paraId="0B45D5E5" w14:textId="77777777">
        <w:tc>
          <w:tcPr>
            <w:tcW w:w="1980" w:type="dxa"/>
          </w:tcPr>
          <w:p w14:paraId="64FB5183" w14:textId="77777777" w:rsidR="00694A80" w:rsidRDefault="00000000">
            <w:pPr>
              <w:tabs>
                <w:tab w:val="left" w:pos="360"/>
              </w:tabs>
              <w:jc w:val="center"/>
              <w:rPr>
                <w:rFonts w:ascii="Arial" w:hAnsi="Arial" w:cs="Arial"/>
                <w:bCs/>
                <w:sz w:val="18"/>
                <w:szCs w:val="18"/>
              </w:rPr>
            </w:pPr>
            <w:r>
              <w:rPr>
                <w:rFonts w:ascii="Arial" w:hAnsi="Arial" w:cs="Arial"/>
                <w:sz w:val="18"/>
                <w:szCs w:val="18"/>
              </w:rPr>
              <w:t>A</w:t>
            </w:r>
          </w:p>
        </w:tc>
        <w:tc>
          <w:tcPr>
            <w:tcW w:w="1850" w:type="dxa"/>
          </w:tcPr>
          <w:p w14:paraId="1872E848" w14:textId="77777777" w:rsidR="00694A80" w:rsidRDefault="00000000">
            <w:pPr>
              <w:tabs>
                <w:tab w:val="left" w:pos="360"/>
              </w:tabs>
              <w:jc w:val="center"/>
              <w:rPr>
                <w:rFonts w:ascii="Arial" w:hAnsi="Arial" w:cs="Arial"/>
                <w:bCs/>
                <w:sz w:val="18"/>
                <w:szCs w:val="18"/>
              </w:rPr>
            </w:pPr>
            <w:r>
              <w:rPr>
                <w:rFonts w:ascii="Arial" w:hAnsi="Arial" w:cs="Arial"/>
                <w:sz w:val="18"/>
                <w:szCs w:val="18"/>
              </w:rPr>
              <w:t>1.854</w:t>
            </w:r>
          </w:p>
        </w:tc>
      </w:tr>
      <w:tr w:rsidR="00694A80" w14:paraId="5926A3C3" w14:textId="77777777">
        <w:tc>
          <w:tcPr>
            <w:tcW w:w="1980" w:type="dxa"/>
          </w:tcPr>
          <w:p w14:paraId="112B6D76" w14:textId="77777777" w:rsidR="00694A80" w:rsidRDefault="00000000">
            <w:pPr>
              <w:tabs>
                <w:tab w:val="left" w:pos="360"/>
              </w:tabs>
              <w:jc w:val="center"/>
              <w:rPr>
                <w:rFonts w:ascii="Arial" w:hAnsi="Arial" w:cs="Arial"/>
                <w:bCs/>
                <w:sz w:val="18"/>
                <w:szCs w:val="18"/>
              </w:rPr>
            </w:pPr>
            <w:r>
              <w:rPr>
                <w:rFonts w:ascii="Arial" w:hAnsi="Arial" w:cs="Arial"/>
                <w:sz w:val="18"/>
                <w:szCs w:val="18"/>
              </w:rPr>
              <w:t>B</w:t>
            </w:r>
          </w:p>
        </w:tc>
        <w:tc>
          <w:tcPr>
            <w:tcW w:w="1850" w:type="dxa"/>
          </w:tcPr>
          <w:p w14:paraId="4A131558" w14:textId="77777777" w:rsidR="00694A80" w:rsidRDefault="00000000">
            <w:pPr>
              <w:tabs>
                <w:tab w:val="left" w:pos="360"/>
              </w:tabs>
              <w:jc w:val="center"/>
              <w:rPr>
                <w:rFonts w:ascii="Arial" w:hAnsi="Arial" w:cs="Arial"/>
                <w:bCs/>
                <w:sz w:val="18"/>
                <w:szCs w:val="18"/>
              </w:rPr>
            </w:pPr>
            <w:r>
              <w:rPr>
                <w:rFonts w:ascii="Arial" w:hAnsi="Arial" w:cs="Arial"/>
                <w:sz w:val="18"/>
                <w:szCs w:val="18"/>
              </w:rPr>
              <w:t>1.490</w:t>
            </w:r>
          </w:p>
        </w:tc>
      </w:tr>
      <w:tr w:rsidR="00694A80" w14:paraId="0FF7D696" w14:textId="77777777">
        <w:tc>
          <w:tcPr>
            <w:tcW w:w="1980" w:type="dxa"/>
          </w:tcPr>
          <w:p w14:paraId="3A656507" w14:textId="77777777" w:rsidR="00694A80" w:rsidRDefault="00000000">
            <w:pPr>
              <w:tabs>
                <w:tab w:val="left" w:pos="360"/>
              </w:tabs>
              <w:jc w:val="center"/>
              <w:rPr>
                <w:rFonts w:ascii="Arial" w:hAnsi="Arial" w:cs="Arial"/>
                <w:bCs/>
                <w:sz w:val="18"/>
                <w:szCs w:val="18"/>
              </w:rPr>
            </w:pPr>
            <w:r>
              <w:rPr>
                <w:rFonts w:ascii="Arial" w:hAnsi="Arial" w:cs="Arial"/>
                <w:sz w:val="18"/>
                <w:szCs w:val="18"/>
              </w:rPr>
              <w:t>C</w:t>
            </w:r>
          </w:p>
        </w:tc>
        <w:tc>
          <w:tcPr>
            <w:tcW w:w="1850" w:type="dxa"/>
          </w:tcPr>
          <w:p w14:paraId="5EE19AAD" w14:textId="77777777" w:rsidR="00694A80" w:rsidRDefault="00000000">
            <w:pPr>
              <w:tabs>
                <w:tab w:val="left" w:pos="360"/>
              </w:tabs>
              <w:jc w:val="center"/>
              <w:rPr>
                <w:rFonts w:ascii="Arial" w:hAnsi="Arial" w:cs="Arial"/>
                <w:bCs/>
                <w:sz w:val="18"/>
                <w:szCs w:val="18"/>
              </w:rPr>
            </w:pPr>
            <w:r>
              <w:rPr>
                <w:rFonts w:ascii="Arial" w:hAnsi="Arial" w:cs="Arial"/>
                <w:sz w:val="18"/>
                <w:szCs w:val="18"/>
              </w:rPr>
              <w:t>1.159</w:t>
            </w:r>
          </w:p>
        </w:tc>
      </w:tr>
      <w:tr w:rsidR="00694A80" w14:paraId="4B4E57F1" w14:textId="77777777">
        <w:tc>
          <w:tcPr>
            <w:tcW w:w="1980" w:type="dxa"/>
          </w:tcPr>
          <w:p w14:paraId="31EFF602" w14:textId="77777777" w:rsidR="00694A80" w:rsidRDefault="00000000">
            <w:pPr>
              <w:tabs>
                <w:tab w:val="left" w:pos="360"/>
              </w:tabs>
              <w:jc w:val="center"/>
              <w:rPr>
                <w:rFonts w:ascii="Arial" w:hAnsi="Arial" w:cs="Arial"/>
                <w:bCs/>
                <w:sz w:val="18"/>
                <w:szCs w:val="18"/>
              </w:rPr>
            </w:pPr>
            <w:r>
              <w:rPr>
                <w:rFonts w:ascii="Arial" w:hAnsi="Arial" w:cs="Arial"/>
                <w:sz w:val="18"/>
                <w:szCs w:val="18"/>
              </w:rPr>
              <w:t>D</w:t>
            </w:r>
          </w:p>
        </w:tc>
        <w:tc>
          <w:tcPr>
            <w:tcW w:w="1850" w:type="dxa"/>
          </w:tcPr>
          <w:p w14:paraId="5DBD896F" w14:textId="77777777" w:rsidR="00694A80" w:rsidRDefault="00000000">
            <w:pPr>
              <w:tabs>
                <w:tab w:val="left" w:pos="360"/>
              </w:tabs>
              <w:jc w:val="center"/>
              <w:rPr>
                <w:rFonts w:ascii="Arial" w:hAnsi="Arial" w:cs="Arial"/>
                <w:bCs/>
                <w:sz w:val="18"/>
                <w:szCs w:val="18"/>
              </w:rPr>
            </w:pPr>
            <w:r>
              <w:rPr>
                <w:rFonts w:ascii="Arial" w:hAnsi="Arial" w:cs="Arial"/>
                <w:sz w:val="18"/>
                <w:szCs w:val="18"/>
              </w:rPr>
              <w:t>0.807</w:t>
            </w:r>
          </w:p>
        </w:tc>
      </w:tr>
      <w:tr w:rsidR="00694A80" w14:paraId="09DA8F11" w14:textId="77777777">
        <w:tc>
          <w:tcPr>
            <w:tcW w:w="1980" w:type="dxa"/>
          </w:tcPr>
          <w:p w14:paraId="1790929E" w14:textId="77777777" w:rsidR="00694A80" w:rsidRDefault="00000000">
            <w:pPr>
              <w:tabs>
                <w:tab w:val="left" w:pos="360"/>
              </w:tabs>
              <w:jc w:val="center"/>
              <w:rPr>
                <w:rFonts w:ascii="Arial" w:hAnsi="Arial" w:cs="Arial"/>
                <w:bCs/>
                <w:sz w:val="18"/>
                <w:szCs w:val="18"/>
              </w:rPr>
            </w:pPr>
            <w:r>
              <w:rPr>
                <w:rFonts w:ascii="Arial" w:hAnsi="Arial" w:cs="Arial"/>
                <w:sz w:val="18"/>
                <w:szCs w:val="18"/>
              </w:rPr>
              <w:t>E</w:t>
            </w:r>
          </w:p>
        </w:tc>
        <w:tc>
          <w:tcPr>
            <w:tcW w:w="1850" w:type="dxa"/>
          </w:tcPr>
          <w:p w14:paraId="2055779D" w14:textId="77777777" w:rsidR="00694A80" w:rsidRDefault="00000000">
            <w:pPr>
              <w:tabs>
                <w:tab w:val="left" w:pos="360"/>
              </w:tabs>
              <w:jc w:val="center"/>
              <w:rPr>
                <w:rFonts w:ascii="Arial" w:hAnsi="Arial" w:cs="Arial"/>
                <w:bCs/>
                <w:sz w:val="18"/>
                <w:szCs w:val="18"/>
              </w:rPr>
            </w:pPr>
            <w:r>
              <w:rPr>
                <w:rFonts w:ascii="Arial" w:hAnsi="Arial" w:cs="Arial"/>
                <w:sz w:val="18"/>
                <w:szCs w:val="18"/>
              </w:rPr>
              <w:t>0.553</w:t>
            </w:r>
          </w:p>
        </w:tc>
      </w:tr>
      <w:tr w:rsidR="00694A80" w14:paraId="16DFB44E" w14:textId="77777777">
        <w:tc>
          <w:tcPr>
            <w:tcW w:w="1980" w:type="dxa"/>
          </w:tcPr>
          <w:p w14:paraId="20AF282A" w14:textId="77777777" w:rsidR="00694A80" w:rsidRDefault="00000000">
            <w:pPr>
              <w:tabs>
                <w:tab w:val="left" w:pos="360"/>
              </w:tabs>
              <w:jc w:val="center"/>
              <w:rPr>
                <w:rFonts w:ascii="Arial" w:hAnsi="Arial" w:cs="Arial"/>
                <w:bCs/>
                <w:sz w:val="18"/>
                <w:szCs w:val="18"/>
              </w:rPr>
            </w:pPr>
            <w:r>
              <w:rPr>
                <w:rFonts w:ascii="Arial" w:hAnsi="Arial" w:cs="Arial"/>
                <w:sz w:val="18"/>
                <w:szCs w:val="18"/>
              </w:rPr>
              <w:t>F</w:t>
            </w:r>
          </w:p>
        </w:tc>
        <w:tc>
          <w:tcPr>
            <w:tcW w:w="1850" w:type="dxa"/>
          </w:tcPr>
          <w:p w14:paraId="7AA49471" w14:textId="77777777" w:rsidR="00694A80" w:rsidRDefault="00000000">
            <w:pPr>
              <w:tabs>
                <w:tab w:val="left" w:pos="360"/>
              </w:tabs>
              <w:jc w:val="center"/>
              <w:rPr>
                <w:rFonts w:ascii="Arial" w:hAnsi="Arial" w:cs="Arial"/>
                <w:bCs/>
                <w:sz w:val="18"/>
                <w:szCs w:val="18"/>
              </w:rPr>
            </w:pPr>
            <w:r>
              <w:rPr>
                <w:rFonts w:ascii="Arial" w:hAnsi="Arial" w:cs="Arial"/>
                <w:sz w:val="18"/>
                <w:szCs w:val="18"/>
              </w:rPr>
              <w:t>0.414</w:t>
            </w:r>
          </w:p>
        </w:tc>
      </w:tr>
    </w:tbl>
    <w:p w14:paraId="1F14D48D" w14:textId="716DF2E0" w:rsidR="00694A80" w:rsidRDefault="00243330">
      <w:pPr>
        <w:tabs>
          <w:tab w:val="left" w:pos="360"/>
        </w:tabs>
        <w:jc w:val="both"/>
        <w:rPr>
          <w:rFonts w:ascii="Arial" w:hAnsi="Arial" w:cs="Arial"/>
          <w:bCs/>
          <w:sz w:val="18"/>
          <w:szCs w:val="18"/>
        </w:rPr>
      </w:pPr>
      <w:r>
        <w:object w:dxaOrig="3055" w:dyaOrig="2162" w14:anchorId="22211A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5.15pt;height:145.35pt" o:ole="">
            <v:imagedata r:id="rId8" o:title=""/>
          </v:shape>
          <o:OLEObject Type="Embed" ProgID="CorelDraw.Graphic.23" ShapeID="_x0000_i1025" DrawAspect="Content" ObjectID="_1789912897" r:id="rId9"/>
        </w:object>
      </w:r>
    </w:p>
    <w:p w14:paraId="7D2AF23F" w14:textId="77777777" w:rsidR="00694A80" w:rsidRDefault="00694A80">
      <w:pPr>
        <w:tabs>
          <w:tab w:val="left" w:pos="360"/>
        </w:tabs>
        <w:jc w:val="both"/>
        <w:rPr>
          <w:rFonts w:ascii="Arial" w:hAnsi="Arial" w:cs="Arial"/>
          <w:bCs/>
          <w:sz w:val="18"/>
          <w:szCs w:val="18"/>
        </w:rPr>
      </w:pPr>
    </w:p>
    <w:p w14:paraId="739C5099" w14:textId="77777777" w:rsidR="00694A80" w:rsidRDefault="00000000">
      <w:pPr>
        <w:tabs>
          <w:tab w:val="left" w:pos="360"/>
        </w:tabs>
        <w:ind w:left="142"/>
        <w:jc w:val="both"/>
        <w:rPr>
          <w:rFonts w:ascii="Arial" w:hAnsi="Arial" w:cs="Arial"/>
          <w:bCs/>
          <w:sz w:val="18"/>
          <w:szCs w:val="18"/>
        </w:rPr>
      </w:pPr>
      <w:r>
        <w:rPr>
          <w:rFonts w:ascii="Arial" w:hAnsi="Arial" w:cs="Arial"/>
          <w:bCs/>
          <w:sz w:val="18"/>
          <w:szCs w:val="18"/>
          <w:lang w:val="en-GB"/>
        </w:rPr>
        <w:t>T</w:t>
      </w:r>
      <w:r>
        <w:rPr>
          <w:rFonts w:ascii="Arial" w:hAnsi="Arial" w:cs="Arial"/>
          <w:bCs/>
          <w:sz w:val="18"/>
          <w:szCs w:val="18"/>
        </w:rPr>
        <w:t xml:space="preserve">his Standard curve is for the purpose of illustration </w:t>
      </w:r>
      <w:proofErr w:type="gramStart"/>
      <w:r>
        <w:rPr>
          <w:rFonts w:ascii="Arial" w:hAnsi="Arial" w:cs="Arial"/>
          <w:bCs/>
          <w:sz w:val="18"/>
          <w:szCs w:val="18"/>
        </w:rPr>
        <w:t>only, and</w:t>
      </w:r>
      <w:proofErr w:type="gramEnd"/>
      <w:r>
        <w:rPr>
          <w:rFonts w:ascii="Arial" w:hAnsi="Arial" w:cs="Arial"/>
          <w:bCs/>
          <w:sz w:val="18"/>
          <w:szCs w:val="18"/>
        </w:rPr>
        <w:t xml:space="preserve"> should not be used to calculate samples. Each user should obtain his or her own standard curve and data.</w:t>
      </w:r>
    </w:p>
    <w:p w14:paraId="4ECCE535" w14:textId="77777777" w:rsidR="00694A80" w:rsidRDefault="00000000">
      <w:pPr>
        <w:tabs>
          <w:tab w:val="left" w:pos="360"/>
        </w:tabs>
        <w:ind w:left="142"/>
        <w:jc w:val="both"/>
        <w:rPr>
          <w:rFonts w:ascii="Arial" w:hAnsi="Arial" w:cs="Arial"/>
          <w:bCs/>
          <w:sz w:val="18"/>
          <w:szCs w:val="18"/>
        </w:rPr>
      </w:pPr>
      <w:r>
        <w:rPr>
          <w:rFonts w:ascii="Arial" w:hAnsi="Arial" w:cs="Arial"/>
          <w:bCs/>
          <w:sz w:val="18"/>
          <w:szCs w:val="18"/>
        </w:rPr>
        <w:t xml:space="preserve">Expected ranges of values </w:t>
      </w:r>
    </w:p>
    <w:p w14:paraId="25820430" w14:textId="77777777" w:rsidR="00694A80" w:rsidRDefault="00000000">
      <w:pPr>
        <w:tabs>
          <w:tab w:val="left" w:pos="360"/>
        </w:tabs>
        <w:ind w:left="142"/>
        <w:jc w:val="both"/>
        <w:rPr>
          <w:rFonts w:ascii="Arial" w:hAnsi="Arial" w:cs="Arial"/>
          <w:bCs/>
          <w:sz w:val="18"/>
          <w:szCs w:val="18"/>
        </w:rPr>
      </w:pPr>
      <w:r>
        <w:rPr>
          <w:rFonts w:ascii="Arial" w:hAnsi="Arial" w:cs="Arial"/>
          <w:bCs/>
          <w:sz w:val="18"/>
          <w:szCs w:val="18"/>
        </w:rPr>
        <w:t>Each laboratory should establish its own normal range based on the patient population. The Testosterone EIA was performed on randomly selected outpatient clinical laboratory samples. The results of these determinations are as follows:</w:t>
      </w:r>
    </w:p>
    <w:p w14:paraId="07E7686D" w14:textId="77777777" w:rsidR="00694A80" w:rsidRDefault="00694A80">
      <w:pPr>
        <w:tabs>
          <w:tab w:val="left" w:pos="360"/>
        </w:tabs>
        <w:ind w:left="142"/>
        <w:jc w:val="both"/>
        <w:rPr>
          <w:rFonts w:ascii="Arial" w:hAnsi="Arial" w:cs="Arial"/>
          <w:bCs/>
          <w:sz w:val="18"/>
          <w:szCs w:val="18"/>
        </w:rPr>
      </w:pPr>
    </w:p>
    <w:p w14:paraId="539DDFE9" w14:textId="77777777" w:rsidR="00694A80" w:rsidRDefault="00694A80">
      <w:pPr>
        <w:tabs>
          <w:tab w:val="left" w:pos="360"/>
        </w:tabs>
        <w:ind w:left="142"/>
        <w:jc w:val="both"/>
        <w:rPr>
          <w:rFonts w:ascii="Arial" w:hAnsi="Arial" w:cs="Arial"/>
          <w:bCs/>
          <w:sz w:val="18"/>
          <w:szCs w:val="18"/>
        </w:rPr>
      </w:pPr>
    </w:p>
    <w:p w14:paraId="6AA3BDF7" w14:textId="77777777" w:rsidR="00694A80" w:rsidRDefault="00694A80">
      <w:pPr>
        <w:tabs>
          <w:tab w:val="left" w:pos="360"/>
        </w:tabs>
        <w:ind w:left="142"/>
        <w:jc w:val="both"/>
        <w:rPr>
          <w:rFonts w:ascii="Arial" w:hAnsi="Arial" w:cs="Arial"/>
          <w:bCs/>
          <w:sz w:val="18"/>
          <w:szCs w:val="18"/>
        </w:rPr>
      </w:pPr>
    </w:p>
    <w:p w14:paraId="26BBA225" w14:textId="77777777" w:rsidR="00694A80" w:rsidRDefault="00694A80">
      <w:pPr>
        <w:tabs>
          <w:tab w:val="left" w:pos="360"/>
        </w:tabs>
        <w:ind w:left="142"/>
        <w:jc w:val="both"/>
        <w:rPr>
          <w:rFonts w:ascii="Arial" w:hAnsi="Arial" w:cs="Arial"/>
          <w:bCs/>
          <w:sz w:val="18"/>
          <w:szCs w:val="18"/>
        </w:rPr>
      </w:pPr>
    </w:p>
    <w:p w14:paraId="0748311F" w14:textId="77777777" w:rsidR="00694A80" w:rsidRDefault="00694A80">
      <w:pPr>
        <w:tabs>
          <w:tab w:val="left" w:pos="360"/>
        </w:tabs>
        <w:ind w:left="142"/>
        <w:jc w:val="both"/>
        <w:rPr>
          <w:rFonts w:ascii="Arial" w:hAnsi="Arial" w:cs="Arial"/>
          <w:bCs/>
          <w:sz w:val="18"/>
          <w:szCs w:val="18"/>
        </w:rPr>
      </w:pPr>
    </w:p>
    <w:p w14:paraId="77913745" w14:textId="77777777" w:rsidR="00694A80" w:rsidRDefault="00694A80">
      <w:pPr>
        <w:tabs>
          <w:tab w:val="left" w:pos="360"/>
        </w:tabs>
        <w:ind w:left="142"/>
        <w:jc w:val="both"/>
        <w:rPr>
          <w:rFonts w:ascii="Arial" w:hAnsi="Arial" w:cs="Arial"/>
          <w:bCs/>
          <w:sz w:val="18"/>
          <w:szCs w:val="18"/>
        </w:rPr>
      </w:pPr>
    </w:p>
    <w:p w14:paraId="19023713" w14:textId="77777777" w:rsidR="00694A80" w:rsidRDefault="00694A80">
      <w:pPr>
        <w:tabs>
          <w:tab w:val="left" w:pos="360"/>
        </w:tabs>
        <w:ind w:left="142"/>
        <w:jc w:val="both"/>
        <w:rPr>
          <w:rFonts w:ascii="Arial" w:hAnsi="Arial" w:cs="Arial"/>
          <w:bCs/>
          <w:sz w:val="18"/>
          <w:szCs w:val="18"/>
        </w:rPr>
      </w:pPr>
    </w:p>
    <w:tbl>
      <w:tblPr>
        <w:tblStyle w:val="TableGrid"/>
        <w:tblW w:w="4459" w:type="dxa"/>
        <w:tblInd w:w="142" w:type="dxa"/>
        <w:tblLayout w:type="fixed"/>
        <w:tblLook w:val="04A0" w:firstRow="1" w:lastRow="0" w:firstColumn="1" w:lastColumn="0" w:noHBand="0" w:noVBand="1"/>
      </w:tblPr>
      <w:tblGrid>
        <w:gridCol w:w="932"/>
        <w:gridCol w:w="1407"/>
        <w:gridCol w:w="2120"/>
      </w:tblGrid>
      <w:tr w:rsidR="00694A80" w14:paraId="7FD1EBD8" w14:textId="77777777">
        <w:trPr>
          <w:trHeight w:val="124"/>
        </w:trPr>
        <w:tc>
          <w:tcPr>
            <w:tcW w:w="932" w:type="dxa"/>
            <w:vMerge w:val="restart"/>
          </w:tcPr>
          <w:p w14:paraId="050781B0" w14:textId="77777777" w:rsidR="00694A80" w:rsidRDefault="00694A80">
            <w:pPr>
              <w:tabs>
                <w:tab w:val="left" w:pos="360"/>
              </w:tabs>
              <w:jc w:val="both"/>
              <w:rPr>
                <w:rFonts w:ascii="Arial" w:hAnsi="Arial" w:cs="Arial"/>
                <w:bCs/>
                <w:sz w:val="18"/>
                <w:szCs w:val="18"/>
              </w:rPr>
            </w:pPr>
          </w:p>
          <w:p w14:paraId="0C06EFBE" w14:textId="77777777" w:rsidR="00694A80" w:rsidRDefault="00000000">
            <w:pPr>
              <w:tabs>
                <w:tab w:val="left" w:pos="360"/>
              </w:tabs>
              <w:jc w:val="both"/>
              <w:rPr>
                <w:rFonts w:ascii="Arial" w:hAnsi="Arial" w:cs="Arial"/>
                <w:bCs/>
                <w:sz w:val="18"/>
                <w:szCs w:val="18"/>
              </w:rPr>
            </w:pPr>
            <w:r>
              <w:rPr>
                <w:rFonts w:ascii="Arial" w:hAnsi="Arial" w:cs="Arial"/>
                <w:bCs/>
                <w:sz w:val="18"/>
                <w:szCs w:val="18"/>
              </w:rPr>
              <w:t>Males</w:t>
            </w:r>
          </w:p>
        </w:tc>
        <w:tc>
          <w:tcPr>
            <w:tcW w:w="1407" w:type="dxa"/>
          </w:tcPr>
          <w:p w14:paraId="01280559" w14:textId="77777777" w:rsidR="00694A80" w:rsidRDefault="00000000">
            <w:pPr>
              <w:tabs>
                <w:tab w:val="left" w:pos="360"/>
              </w:tabs>
              <w:jc w:val="both"/>
              <w:rPr>
                <w:rFonts w:ascii="Arial" w:hAnsi="Arial" w:cs="Arial"/>
                <w:bCs/>
                <w:sz w:val="18"/>
                <w:szCs w:val="18"/>
              </w:rPr>
            </w:pPr>
            <w:r>
              <w:rPr>
                <w:rFonts w:ascii="Arial" w:hAnsi="Arial" w:cs="Arial"/>
                <w:sz w:val="18"/>
                <w:szCs w:val="18"/>
              </w:rPr>
              <w:t>prepubertal (late)</w:t>
            </w:r>
          </w:p>
        </w:tc>
        <w:tc>
          <w:tcPr>
            <w:tcW w:w="2120" w:type="dxa"/>
          </w:tcPr>
          <w:p w14:paraId="7761D915" w14:textId="77777777" w:rsidR="00694A80" w:rsidRDefault="00000000">
            <w:pPr>
              <w:tabs>
                <w:tab w:val="left" w:pos="360"/>
              </w:tabs>
              <w:jc w:val="both"/>
              <w:rPr>
                <w:rFonts w:ascii="Arial" w:hAnsi="Arial" w:cs="Arial"/>
                <w:bCs/>
                <w:sz w:val="18"/>
                <w:szCs w:val="18"/>
              </w:rPr>
            </w:pPr>
            <w:r>
              <w:rPr>
                <w:rFonts w:ascii="Arial" w:hAnsi="Arial" w:cs="Arial"/>
                <w:bCs/>
                <w:sz w:val="18"/>
                <w:szCs w:val="18"/>
              </w:rPr>
              <w:t>0.1 – 0.2 ng/ml</w:t>
            </w:r>
          </w:p>
        </w:tc>
      </w:tr>
      <w:tr w:rsidR="00694A80" w14:paraId="73A0811C" w14:textId="77777777">
        <w:trPr>
          <w:trHeight w:val="194"/>
        </w:trPr>
        <w:tc>
          <w:tcPr>
            <w:tcW w:w="932" w:type="dxa"/>
            <w:vMerge/>
          </w:tcPr>
          <w:p w14:paraId="3351B488" w14:textId="77777777" w:rsidR="00694A80" w:rsidRDefault="00694A80">
            <w:pPr>
              <w:tabs>
                <w:tab w:val="left" w:pos="360"/>
              </w:tabs>
              <w:jc w:val="both"/>
              <w:rPr>
                <w:rFonts w:ascii="Arial" w:hAnsi="Arial" w:cs="Arial"/>
                <w:bCs/>
                <w:sz w:val="18"/>
                <w:szCs w:val="18"/>
              </w:rPr>
            </w:pPr>
          </w:p>
        </w:tc>
        <w:tc>
          <w:tcPr>
            <w:tcW w:w="1407" w:type="dxa"/>
          </w:tcPr>
          <w:p w14:paraId="60879102" w14:textId="77777777" w:rsidR="00694A80" w:rsidRDefault="00000000">
            <w:pPr>
              <w:tabs>
                <w:tab w:val="left" w:pos="360"/>
              </w:tabs>
              <w:jc w:val="both"/>
              <w:rPr>
                <w:rFonts w:ascii="Arial" w:hAnsi="Arial" w:cs="Arial"/>
                <w:bCs/>
                <w:sz w:val="18"/>
                <w:szCs w:val="18"/>
              </w:rPr>
            </w:pPr>
            <w:r>
              <w:rPr>
                <w:rFonts w:ascii="Arial" w:hAnsi="Arial" w:cs="Arial"/>
                <w:bCs/>
                <w:sz w:val="18"/>
                <w:szCs w:val="18"/>
              </w:rPr>
              <w:t>adult</w:t>
            </w:r>
          </w:p>
        </w:tc>
        <w:tc>
          <w:tcPr>
            <w:tcW w:w="2120" w:type="dxa"/>
          </w:tcPr>
          <w:p w14:paraId="4BD2DE21" w14:textId="77777777" w:rsidR="00694A80" w:rsidRDefault="00000000">
            <w:pPr>
              <w:tabs>
                <w:tab w:val="left" w:pos="360"/>
              </w:tabs>
              <w:jc w:val="both"/>
              <w:rPr>
                <w:rFonts w:ascii="Arial" w:hAnsi="Arial" w:cs="Arial"/>
                <w:bCs/>
                <w:sz w:val="18"/>
                <w:szCs w:val="18"/>
              </w:rPr>
            </w:pPr>
            <w:r>
              <w:rPr>
                <w:rFonts w:ascii="Arial" w:hAnsi="Arial" w:cs="Arial"/>
                <w:bCs/>
                <w:sz w:val="18"/>
                <w:szCs w:val="18"/>
              </w:rPr>
              <w:t>3.0 – 10.0 ng/ml</w:t>
            </w:r>
          </w:p>
        </w:tc>
      </w:tr>
      <w:tr w:rsidR="00694A80" w14:paraId="1F25194B" w14:textId="77777777">
        <w:trPr>
          <w:trHeight w:val="377"/>
        </w:trPr>
        <w:tc>
          <w:tcPr>
            <w:tcW w:w="932" w:type="dxa"/>
            <w:vMerge w:val="restart"/>
          </w:tcPr>
          <w:p w14:paraId="6F86094D" w14:textId="77777777" w:rsidR="00694A80" w:rsidRDefault="00694A80">
            <w:pPr>
              <w:tabs>
                <w:tab w:val="left" w:pos="360"/>
              </w:tabs>
              <w:jc w:val="both"/>
              <w:rPr>
                <w:rFonts w:ascii="Arial" w:hAnsi="Arial" w:cs="Arial"/>
                <w:bCs/>
                <w:sz w:val="18"/>
                <w:szCs w:val="18"/>
              </w:rPr>
            </w:pPr>
          </w:p>
          <w:p w14:paraId="041FD22D" w14:textId="77777777" w:rsidR="00694A80" w:rsidRDefault="00694A80">
            <w:pPr>
              <w:tabs>
                <w:tab w:val="left" w:pos="360"/>
              </w:tabs>
              <w:jc w:val="both"/>
              <w:rPr>
                <w:rFonts w:ascii="Arial" w:hAnsi="Arial" w:cs="Arial"/>
                <w:bCs/>
                <w:sz w:val="18"/>
                <w:szCs w:val="18"/>
              </w:rPr>
            </w:pPr>
          </w:p>
          <w:p w14:paraId="53CEBDEC" w14:textId="77777777" w:rsidR="00694A80" w:rsidRDefault="00694A80">
            <w:pPr>
              <w:tabs>
                <w:tab w:val="left" w:pos="360"/>
              </w:tabs>
              <w:jc w:val="both"/>
              <w:rPr>
                <w:rFonts w:ascii="Arial" w:hAnsi="Arial" w:cs="Arial"/>
                <w:bCs/>
                <w:sz w:val="18"/>
                <w:szCs w:val="18"/>
              </w:rPr>
            </w:pPr>
          </w:p>
          <w:p w14:paraId="3D58DBB4" w14:textId="77777777" w:rsidR="00694A80" w:rsidRDefault="00000000">
            <w:pPr>
              <w:tabs>
                <w:tab w:val="left" w:pos="360"/>
              </w:tabs>
              <w:jc w:val="both"/>
              <w:rPr>
                <w:rFonts w:ascii="Arial" w:hAnsi="Arial" w:cs="Arial"/>
                <w:bCs/>
                <w:sz w:val="18"/>
                <w:szCs w:val="18"/>
              </w:rPr>
            </w:pPr>
            <w:r>
              <w:rPr>
                <w:rFonts w:ascii="Arial" w:hAnsi="Arial" w:cs="Arial"/>
                <w:bCs/>
                <w:sz w:val="18"/>
                <w:szCs w:val="18"/>
              </w:rPr>
              <w:t>Females</w:t>
            </w:r>
          </w:p>
        </w:tc>
        <w:tc>
          <w:tcPr>
            <w:tcW w:w="1407" w:type="dxa"/>
          </w:tcPr>
          <w:p w14:paraId="14F1617C" w14:textId="77777777" w:rsidR="00694A80" w:rsidRDefault="00000000">
            <w:pPr>
              <w:tabs>
                <w:tab w:val="left" w:pos="360"/>
              </w:tabs>
              <w:jc w:val="both"/>
              <w:rPr>
                <w:rFonts w:ascii="Arial" w:hAnsi="Arial" w:cs="Arial"/>
                <w:bCs/>
                <w:sz w:val="18"/>
                <w:szCs w:val="18"/>
              </w:rPr>
            </w:pPr>
            <w:r>
              <w:rPr>
                <w:rFonts w:ascii="Arial" w:hAnsi="Arial" w:cs="Arial"/>
                <w:bCs/>
                <w:sz w:val="18"/>
                <w:szCs w:val="18"/>
              </w:rPr>
              <w:t>prepubertal (late)</w:t>
            </w:r>
          </w:p>
        </w:tc>
        <w:tc>
          <w:tcPr>
            <w:tcW w:w="2120" w:type="dxa"/>
          </w:tcPr>
          <w:p w14:paraId="0B358467" w14:textId="77777777" w:rsidR="00694A80" w:rsidRDefault="00000000">
            <w:pPr>
              <w:tabs>
                <w:tab w:val="left" w:pos="360"/>
              </w:tabs>
              <w:jc w:val="both"/>
              <w:rPr>
                <w:rFonts w:ascii="Arial" w:hAnsi="Arial" w:cs="Arial"/>
                <w:bCs/>
                <w:sz w:val="18"/>
                <w:szCs w:val="18"/>
              </w:rPr>
            </w:pPr>
            <w:r>
              <w:rPr>
                <w:rFonts w:ascii="Arial" w:hAnsi="Arial" w:cs="Arial"/>
                <w:bCs/>
                <w:sz w:val="18"/>
                <w:szCs w:val="18"/>
              </w:rPr>
              <w:t>0.1 – 0.2 ng/ml</w:t>
            </w:r>
          </w:p>
        </w:tc>
      </w:tr>
      <w:tr w:rsidR="00694A80" w14:paraId="150FEE57" w14:textId="77777777">
        <w:trPr>
          <w:trHeight w:val="371"/>
        </w:trPr>
        <w:tc>
          <w:tcPr>
            <w:tcW w:w="932" w:type="dxa"/>
            <w:vMerge/>
          </w:tcPr>
          <w:p w14:paraId="6D481CB9" w14:textId="77777777" w:rsidR="00694A80" w:rsidRDefault="00694A80">
            <w:pPr>
              <w:tabs>
                <w:tab w:val="left" w:pos="360"/>
              </w:tabs>
              <w:jc w:val="both"/>
              <w:rPr>
                <w:rFonts w:ascii="Arial" w:hAnsi="Arial" w:cs="Arial"/>
                <w:bCs/>
                <w:sz w:val="18"/>
                <w:szCs w:val="18"/>
              </w:rPr>
            </w:pPr>
          </w:p>
        </w:tc>
        <w:tc>
          <w:tcPr>
            <w:tcW w:w="1407" w:type="dxa"/>
          </w:tcPr>
          <w:p w14:paraId="0282D42E" w14:textId="77777777" w:rsidR="00694A80" w:rsidRDefault="00000000">
            <w:pPr>
              <w:tabs>
                <w:tab w:val="left" w:pos="360"/>
              </w:tabs>
              <w:jc w:val="both"/>
              <w:rPr>
                <w:rFonts w:ascii="Arial" w:hAnsi="Arial" w:cs="Arial"/>
                <w:bCs/>
                <w:sz w:val="18"/>
                <w:szCs w:val="18"/>
              </w:rPr>
            </w:pPr>
            <w:r>
              <w:rPr>
                <w:rFonts w:ascii="Arial" w:hAnsi="Arial" w:cs="Arial"/>
                <w:bCs/>
                <w:sz w:val="18"/>
                <w:szCs w:val="18"/>
              </w:rPr>
              <w:t>follicular phase</w:t>
            </w:r>
          </w:p>
        </w:tc>
        <w:tc>
          <w:tcPr>
            <w:tcW w:w="2120" w:type="dxa"/>
          </w:tcPr>
          <w:p w14:paraId="70129CA2" w14:textId="77777777" w:rsidR="00694A80" w:rsidRDefault="00000000">
            <w:pPr>
              <w:tabs>
                <w:tab w:val="left" w:pos="360"/>
              </w:tabs>
              <w:jc w:val="both"/>
              <w:rPr>
                <w:rFonts w:ascii="Arial" w:hAnsi="Arial" w:cs="Arial"/>
                <w:bCs/>
                <w:sz w:val="18"/>
                <w:szCs w:val="18"/>
              </w:rPr>
            </w:pPr>
            <w:r>
              <w:rPr>
                <w:rFonts w:ascii="Arial" w:hAnsi="Arial" w:cs="Arial"/>
                <w:bCs/>
                <w:sz w:val="18"/>
                <w:szCs w:val="18"/>
              </w:rPr>
              <w:t>0.2 – 0.8 ng/ml</w:t>
            </w:r>
          </w:p>
        </w:tc>
      </w:tr>
      <w:tr w:rsidR="00694A80" w14:paraId="4C1FDD55" w14:textId="77777777">
        <w:trPr>
          <w:trHeight w:val="194"/>
        </w:trPr>
        <w:tc>
          <w:tcPr>
            <w:tcW w:w="932" w:type="dxa"/>
            <w:vMerge/>
          </w:tcPr>
          <w:p w14:paraId="1F3730FC" w14:textId="77777777" w:rsidR="00694A80" w:rsidRDefault="00694A80">
            <w:pPr>
              <w:tabs>
                <w:tab w:val="left" w:pos="360"/>
              </w:tabs>
              <w:jc w:val="both"/>
              <w:rPr>
                <w:rFonts w:ascii="Arial" w:hAnsi="Arial" w:cs="Arial"/>
                <w:bCs/>
                <w:sz w:val="18"/>
                <w:szCs w:val="18"/>
              </w:rPr>
            </w:pPr>
          </w:p>
        </w:tc>
        <w:tc>
          <w:tcPr>
            <w:tcW w:w="1407" w:type="dxa"/>
          </w:tcPr>
          <w:p w14:paraId="235F01ED" w14:textId="77777777" w:rsidR="00694A80" w:rsidRDefault="00000000">
            <w:pPr>
              <w:tabs>
                <w:tab w:val="left" w:pos="360"/>
              </w:tabs>
              <w:jc w:val="both"/>
              <w:rPr>
                <w:rFonts w:ascii="Arial" w:hAnsi="Arial" w:cs="Arial"/>
                <w:bCs/>
                <w:sz w:val="18"/>
                <w:szCs w:val="18"/>
              </w:rPr>
            </w:pPr>
            <w:r>
              <w:rPr>
                <w:rFonts w:ascii="Arial" w:hAnsi="Arial" w:cs="Arial"/>
                <w:bCs/>
                <w:sz w:val="18"/>
                <w:szCs w:val="18"/>
              </w:rPr>
              <w:t>luteal phase</w:t>
            </w:r>
          </w:p>
        </w:tc>
        <w:tc>
          <w:tcPr>
            <w:tcW w:w="2120" w:type="dxa"/>
          </w:tcPr>
          <w:p w14:paraId="0ED9946D" w14:textId="77777777" w:rsidR="00694A80" w:rsidRDefault="00000000">
            <w:pPr>
              <w:tabs>
                <w:tab w:val="left" w:pos="360"/>
              </w:tabs>
              <w:jc w:val="both"/>
              <w:rPr>
                <w:rFonts w:ascii="Arial" w:hAnsi="Arial" w:cs="Arial"/>
                <w:bCs/>
                <w:sz w:val="18"/>
                <w:szCs w:val="18"/>
              </w:rPr>
            </w:pPr>
            <w:r>
              <w:rPr>
                <w:rFonts w:ascii="Arial" w:hAnsi="Arial" w:cs="Arial"/>
                <w:bCs/>
                <w:sz w:val="18"/>
                <w:szCs w:val="18"/>
              </w:rPr>
              <w:t>0.2 – 0.8 ng/ml</w:t>
            </w:r>
          </w:p>
        </w:tc>
      </w:tr>
      <w:tr w:rsidR="00694A80" w14:paraId="2409AF1A" w14:textId="77777777">
        <w:trPr>
          <w:trHeight w:val="520"/>
        </w:trPr>
        <w:tc>
          <w:tcPr>
            <w:tcW w:w="932" w:type="dxa"/>
            <w:vMerge/>
          </w:tcPr>
          <w:p w14:paraId="7D7AE782" w14:textId="77777777" w:rsidR="00694A80" w:rsidRDefault="00694A80">
            <w:pPr>
              <w:tabs>
                <w:tab w:val="left" w:pos="360"/>
              </w:tabs>
              <w:jc w:val="both"/>
              <w:rPr>
                <w:rFonts w:ascii="Arial" w:hAnsi="Arial" w:cs="Arial"/>
                <w:bCs/>
                <w:sz w:val="18"/>
                <w:szCs w:val="18"/>
              </w:rPr>
            </w:pPr>
          </w:p>
        </w:tc>
        <w:tc>
          <w:tcPr>
            <w:tcW w:w="1407" w:type="dxa"/>
          </w:tcPr>
          <w:p w14:paraId="6F105A10" w14:textId="77777777" w:rsidR="00694A80" w:rsidRDefault="00000000">
            <w:pPr>
              <w:tabs>
                <w:tab w:val="left" w:pos="360"/>
              </w:tabs>
              <w:jc w:val="both"/>
              <w:rPr>
                <w:rFonts w:ascii="Arial" w:hAnsi="Arial" w:cs="Arial"/>
                <w:bCs/>
                <w:sz w:val="18"/>
                <w:szCs w:val="18"/>
              </w:rPr>
            </w:pPr>
            <w:proofErr w:type="spellStart"/>
            <w:r>
              <w:rPr>
                <w:rFonts w:ascii="Arial" w:hAnsi="Arial" w:cs="Arial"/>
                <w:bCs/>
                <w:sz w:val="18"/>
                <w:szCs w:val="18"/>
              </w:rPr>
              <w:t>post menopausal</w:t>
            </w:r>
            <w:proofErr w:type="spellEnd"/>
            <w:r>
              <w:rPr>
                <w:rFonts w:ascii="Arial" w:hAnsi="Arial" w:cs="Arial"/>
                <w:bCs/>
                <w:sz w:val="18"/>
                <w:szCs w:val="18"/>
              </w:rPr>
              <w:tab/>
            </w:r>
          </w:p>
        </w:tc>
        <w:tc>
          <w:tcPr>
            <w:tcW w:w="2120" w:type="dxa"/>
          </w:tcPr>
          <w:p w14:paraId="615C111F" w14:textId="77777777" w:rsidR="00694A80" w:rsidRDefault="00000000">
            <w:pPr>
              <w:tabs>
                <w:tab w:val="left" w:pos="360"/>
              </w:tabs>
              <w:jc w:val="both"/>
              <w:rPr>
                <w:rFonts w:ascii="Arial" w:hAnsi="Arial" w:cs="Arial"/>
                <w:bCs/>
                <w:sz w:val="18"/>
                <w:szCs w:val="18"/>
              </w:rPr>
            </w:pPr>
            <w:r>
              <w:rPr>
                <w:rFonts w:ascii="Arial" w:hAnsi="Arial" w:cs="Arial"/>
                <w:bCs/>
                <w:sz w:val="18"/>
                <w:szCs w:val="18"/>
              </w:rPr>
              <w:t>0.08 – 0.35 ng/ml</w:t>
            </w:r>
          </w:p>
        </w:tc>
      </w:tr>
    </w:tbl>
    <w:p w14:paraId="228F2DF2" w14:textId="77777777" w:rsidR="00694A80" w:rsidRDefault="00694A80">
      <w:pPr>
        <w:tabs>
          <w:tab w:val="left" w:pos="360"/>
        </w:tabs>
        <w:ind w:left="142"/>
        <w:jc w:val="both"/>
        <w:rPr>
          <w:rFonts w:ascii="Arial" w:hAnsi="Arial" w:cs="Arial"/>
          <w:bCs/>
          <w:sz w:val="18"/>
          <w:szCs w:val="18"/>
        </w:rPr>
      </w:pPr>
    </w:p>
    <w:p w14:paraId="69E26AEA" w14:textId="77777777" w:rsidR="00694A80" w:rsidRDefault="00000000">
      <w:pPr>
        <w:tabs>
          <w:tab w:val="left" w:pos="360"/>
        </w:tabs>
        <w:ind w:left="142"/>
        <w:jc w:val="both"/>
        <w:rPr>
          <w:rFonts w:ascii="Arial" w:hAnsi="Arial" w:cs="Arial"/>
          <w:bCs/>
          <w:sz w:val="18"/>
          <w:szCs w:val="18"/>
        </w:rPr>
      </w:pPr>
      <w:r>
        <w:rPr>
          <w:rFonts w:ascii="Arial" w:hAnsi="Arial" w:cs="Arial"/>
          <w:bCs/>
          <w:sz w:val="18"/>
          <w:szCs w:val="18"/>
        </w:rPr>
        <w:t>The minimum detectable concentration of Testosterone by this assay is estimated to be 0.05 ng/ml.</w:t>
      </w:r>
    </w:p>
    <w:p w14:paraId="2E2C7038" w14:textId="77777777" w:rsidR="00694A80" w:rsidRDefault="00694A80">
      <w:pPr>
        <w:tabs>
          <w:tab w:val="left" w:pos="360"/>
        </w:tabs>
        <w:ind w:left="142"/>
        <w:jc w:val="both"/>
        <w:rPr>
          <w:rFonts w:ascii="Arial" w:hAnsi="Arial" w:cs="Arial"/>
          <w:bCs/>
          <w:sz w:val="18"/>
          <w:szCs w:val="18"/>
        </w:rPr>
      </w:pPr>
    </w:p>
    <w:p w14:paraId="79D9ECAE" w14:textId="77777777" w:rsidR="00694A80" w:rsidRDefault="00000000">
      <w:pPr>
        <w:tabs>
          <w:tab w:val="left" w:pos="360"/>
        </w:tabs>
        <w:ind w:left="142"/>
        <w:jc w:val="both"/>
        <w:rPr>
          <w:rFonts w:ascii="Arial" w:hAnsi="Arial" w:cs="Arial"/>
          <w:bCs/>
          <w:sz w:val="18"/>
          <w:szCs w:val="18"/>
        </w:rPr>
      </w:pPr>
      <w:r>
        <w:rPr>
          <w:rFonts w:ascii="Arial" w:hAnsi="Arial" w:cs="Arial"/>
          <w:bCs/>
          <w:sz w:val="18"/>
          <w:szCs w:val="18"/>
        </w:rPr>
        <w:t>PERFORMANCE CHARACTERISTICS</w:t>
      </w:r>
    </w:p>
    <w:p w14:paraId="3859D555" w14:textId="77777777" w:rsidR="00694A80" w:rsidRDefault="00000000">
      <w:pPr>
        <w:tabs>
          <w:tab w:val="left" w:pos="360"/>
        </w:tabs>
        <w:ind w:left="142"/>
        <w:jc w:val="both"/>
        <w:rPr>
          <w:rFonts w:ascii="Arial" w:hAnsi="Arial" w:cs="Arial"/>
          <w:bCs/>
          <w:sz w:val="18"/>
          <w:szCs w:val="18"/>
        </w:rPr>
      </w:pPr>
      <w:r>
        <w:rPr>
          <w:rFonts w:ascii="Arial" w:hAnsi="Arial" w:cs="Arial"/>
          <w:bCs/>
          <w:sz w:val="18"/>
          <w:szCs w:val="18"/>
        </w:rPr>
        <w:t>A)</w:t>
      </w:r>
      <w:r>
        <w:rPr>
          <w:rFonts w:ascii="Arial" w:hAnsi="Arial" w:cs="Arial"/>
          <w:bCs/>
          <w:sz w:val="18"/>
          <w:szCs w:val="18"/>
        </w:rPr>
        <w:tab/>
        <w:t>Internal Evaluation:</w:t>
      </w:r>
    </w:p>
    <w:p w14:paraId="6959FD1C" w14:textId="77777777" w:rsidR="00694A80" w:rsidRDefault="00000000">
      <w:pPr>
        <w:tabs>
          <w:tab w:val="left" w:pos="360"/>
        </w:tabs>
        <w:ind w:left="142"/>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In an internal Study Testosterone was evaluated against commercially available licensed kit with 90 random clinical samples and Testosterone has demonstrated 95% clinical correlation with the commercially available licensed kit.</w:t>
      </w:r>
    </w:p>
    <w:p w14:paraId="3C501634" w14:textId="77777777" w:rsidR="00694A80" w:rsidRDefault="00000000">
      <w:pPr>
        <w:tabs>
          <w:tab w:val="left" w:pos="360"/>
        </w:tabs>
        <w:ind w:left="142"/>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Precision: Testosterone was evaluated with </w:t>
      </w:r>
      <w:proofErr w:type="gramStart"/>
      <w:r>
        <w:rPr>
          <w:rFonts w:ascii="Arial" w:hAnsi="Arial" w:cs="Arial"/>
          <w:bCs/>
          <w:sz w:val="18"/>
          <w:szCs w:val="18"/>
        </w:rPr>
        <w:t>licensed  external</w:t>
      </w:r>
      <w:proofErr w:type="gramEnd"/>
      <w:r>
        <w:rPr>
          <w:rFonts w:ascii="Arial" w:hAnsi="Arial" w:cs="Arial"/>
          <w:bCs/>
          <w:sz w:val="18"/>
          <w:szCs w:val="18"/>
        </w:rPr>
        <w:t xml:space="preserve"> Quality controls for Precision Studies &amp; following is the data:</w:t>
      </w:r>
    </w:p>
    <w:p w14:paraId="6770AC78" w14:textId="77777777" w:rsidR="00694A80" w:rsidRDefault="00694A80">
      <w:pPr>
        <w:tabs>
          <w:tab w:val="left" w:pos="360"/>
        </w:tabs>
        <w:ind w:left="142"/>
        <w:jc w:val="both"/>
        <w:rPr>
          <w:rFonts w:ascii="Arial" w:hAnsi="Arial" w:cs="Arial"/>
          <w:bCs/>
          <w:sz w:val="18"/>
          <w:szCs w:val="18"/>
        </w:rPr>
      </w:pPr>
    </w:p>
    <w:tbl>
      <w:tblPr>
        <w:tblStyle w:val="TableGrid"/>
        <w:tblW w:w="4658" w:type="dxa"/>
        <w:tblInd w:w="137" w:type="dxa"/>
        <w:tblLayout w:type="fixed"/>
        <w:tblLook w:val="04A0" w:firstRow="1" w:lastRow="0" w:firstColumn="1" w:lastColumn="0" w:noHBand="0" w:noVBand="1"/>
      </w:tblPr>
      <w:tblGrid>
        <w:gridCol w:w="940"/>
        <w:gridCol w:w="839"/>
        <w:gridCol w:w="1325"/>
        <w:gridCol w:w="1554"/>
      </w:tblGrid>
      <w:tr w:rsidR="00694A80" w14:paraId="322BEA0A" w14:textId="77777777">
        <w:trPr>
          <w:trHeight w:val="1014"/>
        </w:trPr>
        <w:tc>
          <w:tcPr>
            <w:tcW w:w="940" w:type="dxa"/>
          </w:tcPr>
          <w:p w14:paraId="689560CA" w14:textId="77777777" w:rsidR="00694A80" w:rsidRDefault="00000000">
            <w:pPr>
              <w:tabs>
                <w:tab w:val="left" w:pos="360"/>
              </w:tabs>
              <w:jc w:val="both"/>
              <w:rPr>
                <w:rFonts w:ascii="Arial" w:hAnsi="Arial" w:cs="Arial"/>
                <w:bCs/>
                <w:sz w:val="18"/>
                <w:szCs w:val="18"/>
              </w:rPr>
            </w:pPr>
            <w:r>
              <w:rPr>
                <w:rFonts w:ascii="Arial" w:hAnsi="Arial" w:cs="Arial"/>
                <w:bCs/>
                <w:sz w:val="18"/>
                <w:szCs w:val="18"/>
              </w:rPr>
              <w:t>Controls</w:t>
            </w:r>
          </w:p>
        </w:tc>
        <w:tc>
          <w:tcPr>
            <w:tcW w:w="839" w:type="dxa"/>
          </w:tcPr>
          <w:p w14:paraId="45AF267C" w14:textId="77777777" w:rsidR="00694A80" w:rsidRDefault="00000000">
            <w:pPr>
              <w:tabs>
                <w:tab w:val="left" w:pos="360"/>
              </w:tabs>
              <w:jc w:val="both"/>
              <w:rPr>
                <w:rFonts w:ascii="Arial" w:hAnsi="Arial" w:cs="Arial"/>
                <w:bCs/>
                <w:sz w:val="18"/>
                <w:szCs w:val="18"/>
              </w:rPr>
            </w:pPr>
            <w:r>
              <w:rPr>
                <w:rFonts w:ascii="Arial" w:hAnsi="Arial" w:cs="Arial"/>
                <w:bCs/>
                <w:sz w:val="18"/>
                <w:szCs w:val="18"/>
              </w:rPr>
              <w:t xml:space="preserve">No. of </w:t>
            </w:r>
            <w:proofErr w:type="spellStart"/>
            <w:r>
              <w:rPr>
                <w:rFonts w:ascii="Arial" w:hAnsi="Arial" w:cs="Arial"/>
                <w:bCs/>
                <w:sz w:val="18"/>
                <w:szCs w:val="18"/>
              </w:rPr>
              <w:t>testings</w:t>
            </w:r>
            <w:proofErr w:type="spellEnd"/>
          </w:p>
        </w:tc>
        <w:tc>
          <w:tcPr>
            <w:tcW w:w="1325" w:type="dxa"/>
          </w:tcPr>
          <w:p w14:paraId="6B643B9C" w14:textId="77777777" w:rsidR="00694A80" w:rsidRDefault="00000000">
            <w:pPr>
              <w:tabs>
                <w:tab w:val="left" w:pos="360"/>
              </w:tabs>
              <w:jc w:val="both"/>
              <w:rPr>
                <w:rFonts w:ascii="Arial" w:hAnsi="Arial" w:cs="Arial"/>
                <w:bCs/>
                <w:sz w:val="18"/>
                <w:szCs w:val="18"/>
              </w:rPr>
            </w:pPr>
            <w:r>
              <w:rPr>
                <w:rFonts w:ascii="Arial" w:hAnsi="Arial" w:cs="Arial"/>
                <w:bCs/>
                <w:sz w:val="18"/>
                <w:szCs w:val="18"/>
              </w:rPr>
              <w:t>Mean Control values with Testosterone</w:t>
            </w:r>
          </w:p>
        </w:tc>
        <w:tc>
          <w:tcPr>
            <w:tcW w:w="1554" w:type="dxa"/>
          </w:tcPr>
          <w:p w14:paraId="7F4FC455" w14:textId="77777777" w:rsidR="00694A80" w:rsidRDefault="00000000">
            <w:pPr>
              <w:tabs>
                <w:tab w:val="left" w:pos="360"/>
              </w:tabs>
              <w:ind w:left="360"/>
              <w:jc w:val="both"/>
              <w:rPr>
                <w:rFonts w:ascii="Arial" w:hAnsi="Arial" w:cs="Arial"/>
                <w:bCs/>
                <w:sz w:val="18"/>
                <w:szCs w:val="18"/>
              </w:rPr>
            </w:pPr>
            <w:r>
              <w:rPr>
                <w:rFonts w:ascii="Arial" w:hAnsi="Arial" w:cs="Arial"/>
                <w:bCs/>
                <w:sz w:val="18"/>
                <w:szCs w:val="18"/>
              </w:rPr>
              <w:t>Coefficient of Variation (CV)</w:t>
            </w:r>
          </w:p>
        </w:tc>
      </w:tr>
      <w:tr w:rsidR="00694A80" w14:paraId="3772B77B" w14:textId="77777777">
        <w:trPr>
          <w:trHeight w:val="215"/>
        </w:trPr>
        <w:tc>
          <w:tcPr>
            <w:tcW w:w="940" w:type="dxa"/>
          </w:tcPr>
          <w:p w14:paraId="59BE5088" w14:textId="77777777" w:rsidR="00694A80" w:rsidRDefault="00000000">
            <w:pPr>
              <w:tabs>
                <w:tab w:val="left" w:pos="360"/>
              </w:tabs>
              <w:jc w:val="both"/>
              <w:rPr>
                <w:rFonts w:ascii="Arial" w:hAnsi="Arial" w:cs="Arial"/>
                <w:bCs/>
                <w:sz w:val="18"/>
                <w:szCs w:val="18"/>
              </w:rPr>
            </w:pPr>
            <w:proofErr w:type="gramStart"/>
            <w:r>
              <w:rPr>
                <w:rFonts w:ascii="Arial" w:hAnsi="Arial" w:cs="Arial"/>
                <w:bCs/>
                <w:sz w:val="18"/>
                <w:szCs w:val="18"/>
              </w:rPr>
              <w:t>Level  1</w:t>
            </w:r>
            <w:proofErr w:type="gramEnd"/>
            <w:r>
              <w:rPr>
                <w:rFonts w:ascii="Arial" w:hAnsi="Arial" w:cs="Arial"/>
                <w:bCs/>
                <w:sz w:val="18"/>
                <w:szCs w:val="18"/>
              </w:rPr>
              <w:t xml:space="preserve"> </w:t>
            </w:r>
          </w:p>
        </w:tc>
        <w:tc>
          <w:tcPr>
            <w:tcW w:w="839" w:type="dxa"/>
          </w:tcPr>
          <w:p w14:paraId="75245582" w14:textId="77777777" w:rsidR="00694A80" w:rsidRDefault="00000000">
            <w:pPr>
              <w:tabs>
                <w:tab w:val="left" w:pos="360"/>
              </w:tabs>
              <w:jc w:val="both"/>
              <w:rPr>
                <w:rFonts w:ascii="Arial" w:hAnsi="Arial" w:cs="Arial"/>
                <w:bCs/>
                <w:sz w:val="18"/>
                <w:szCs w:val="18"/>
              </w:rPr>
            </w:pPr>
            <w:r>
              <w:rPr>
                <w:rFonts w:ascii="Arial" w:hAnsi="Arial" w:cs="Arial"/>
                <w:bCs/>
                <w:sz w:val="18"/>
                <w:szCs w:val="18"/>
              </w:rPr>
              <w:t>10</w:t>
            </w:r>
          </w:p>
        </w:tc>
        <w:tc>
          <w:tcPr>
            <w:tcW w:w="1325" w:type="dxa"/>
          </w:tcPr>
          <w:p w14:paraId="0DF14FD8" w14:textId="77777777" w:rsidR="00694A80" w:rsidRDefault="00000000">
            <w:pPr>
              <w:tabs>
                <w:tab w:val="left" w:pos="360"/>
              </w:tabs>
              <w:jc w:val="both"/>
              <w:rPr>
                <w:rFonts w:ascii="Arial" w:hAnsi="Arial" w:cs="Arial"/>
                <w:bCs/>
                <w:sz w:val="18"/>
                <w:szCs w:val="18"/>
              </w:rPr>
            </w:pPr>
            <w:r>
              <w:rPr>
                <w:rFonts w:ascii="Arial" w:hAnsi="Arial" w:cs="Arial"/>
                <w:sz w:val="18"/>
                <w:szCs w:val="18"/>
              </w:rPr>
              <w:t>0.783</w:t>
            </w:r>
          </w:p>
        </w:tc>
        <w:tc>
          <w:tcPr>
            <w:tcW w:w="1554" w:type="dxa"/>
          </w:tcPr>
          <w:p w14:paraId="7D90CF6E" w14:textId="77777777" w:rsidR="00694A80" w:rsidRDefault="00000000">
            <w:pPr>
              <w:tabs>
                <w:tab w:val="left" w:pos="360"/>
              </w:tabs>
              <w:jc w:val="center"/>
              <w:rPr>
                <w:rFonts w:ascii="Arial" w:hAnsi="Arial" w:cs="Arial"/>
                <w:bCs/>
                <w:sz w:val="18"/>
                <w:szCs w:val="18"/>
              </w:rPr>
            </w:pPr>
            <w:r>
              <w:rPr>
                <w:rFonts w:ascii="Arial" w:hAnsi="Arial" w:cs="Arial"/>
                <w:sz w:val="18"/>
                <w:szCs w:val="18"/>
              </w:rPr>
              <w:t>6.49</w:t>
            </w:r>
          </w:p>
        </w:tc>
      </w:tr>
      <w:tr w:rsidR="00694A80" w14:paraId="154FA83E" w14:textId="77777777">
        <w:trPr>
          <w:trHeight w:val="215"/>
        </w:trPr>
        <w:tc>
          <w:tcPr>
            <w:tcW w:w="940" w:type="dxa"/>
          </w:tcPr>
          <w:p w14:paraId="46F5C1B9" w14:textId="77777777" w:rsidR="00694A80" w:rsidRDefault="00000000">
            <w:pPr>
              <w:tabs>
                <w:tab w:val="left" w:pos="360"/>
              </w:tabs>
              <w:jc w:val="both"/>
              <w:rPr>
                <w:rFonts w:ascii="Arial" w:hAnsi="Arial" w:cs="Arial"/>
                <w:bCs/>
                <w:sz w:val="18"/>
                <w:szCs w:val="18"/>
              </w:rPr>
            </w:pPr>
            <w:proofErr w:type="gramStart"/>
            <w:r>
              <w:rPr>
                <w:rFonts w:ascii="Arial" w:hAnsi="Arial" w:cs="Arial"/>
                <w:bCs/>
                <w:sz w:val="18"/>
                <w:szCs w:val="18"/>
              </w:rPr>
              <w:t>Level  2</w:t>
            </w:r>
            <w:proofErr w:type="gramEnd"/>
          </w:p>
        </w:tc>
        <w:tc>
          <w:tcPr>
            <w:tcW w:w="839" w:type="dxa"/>
          </w:tcPr>
          <w:p w14:paraId="5D15C074" w14:textId="77777777" w:rsidR="00694A80" w:rsidRDefault="00000000">
            <w:pPr>
              <w:tabs>
                <w:tab w:val="left" w:pos="360"/>
              </w:tabs>
              <w:jc w:val="both"/>
              <w:rPr>
                <w:rFonts w:ascii="Arial" w:hAnsi="Arial" w:cs="Arial"/>
                <w:bCs/>
                <w:sz w:val="18"/>
                <w:szCs w:val="18"/>
              </w:rPr>
            </w:pPr>
            <w:r>
              <w:rPr>
                <w:rFonts w:ascii="Arial" w:hAnsi="Arial" w:cs="Arial"/>
                <w:bCs/>
                <w:sz w:val="18"/>
                <w:szCs w:val="18"/>
              </w:rPr>
              <w:t>10</w:t>
            </w:r>
          </w:p>
        </w:tc>
        <w:tc>
          <w:tcPr>
            <w:tcW w:w="1325" w:type="dxa"/>
          </w:tcPr>
          <w:p w14:paraId="268511B6" w14:textId="77777777" w:rsidR="00694A80" w:rsidRDefault="00000000">
            <w:pPr>
              <w:tabs>
                <w:tab w:val="left" w:pos="360"/>
              </w:tabs>
              <w:jc w:val="both"/>
              <w:rPr>
                <w:rFonts w:ascii="Arial" w:hAnsi="Arial" w:cs="Arial"/>
                <w:bCs/>
                <w:sz w:val="18"/>
                <w:szCs w:val="18"/>
              </w:rPr>
            </w:pPr>
            <w:r>
              <w:rPr>
                <w:rFonts w:ascii="Arial" w:hAnsi="Arial" w:cs="Arial"/>
                <w:sz w:val="18"/>
                <w:szCs w:val="18"/>
              </w:rPr>
              <w:t>12.16</w:t>
            </w:r>
          </w:p>
        </w:tc>
        <w:tc>
          <w:tcPr>
            <w:tcW w:w="1554" w:type="dxa"/>
          </w:tcPr>
          <w:p w14:paraId="5A05385A" w14:textId="77777777" w:rsidR="00694A80" w:rsidRDefault="00000000">
            <w:pPr>
              <w:tabs>
                <w:tab w:val="left" w:pos="360"/>
              </w:tabs>
              <w:jc w:val="center"/>
              <w:rPr>
                <w:rFonts w:ascii="Arial" w:hAnsi="Arial" w:cs="Arial"/>
                <w:bCs/>
                <w:sz w:val="18"/>
                <w:szCs w:val="18"/>
              </w:rPr>
            </w:pPr>
            <w:r>
              <w:rPr>
                <w:rFonts w:ascii="Arial" w:hAnsi="Arial" w:cs="Arial"/>
                <w:sz w:val="18"/>
                <w:szCs w:val="18"/>
              </w:rPr>
              <w:t>5.98</w:t>
            </w:r>
          </w:p>
        </w:tc>
      </w:tr>
      <w:tr w:rsidR="00694A80" w14:paraId="44DD31B2" w14:textId="77777777">
        <w:trPr>
          <w:trHeight w:val="235"/>
        </w:trPr>
        <w:tc>
          <w:tcPr>
            <w:tcW w:w="940" w:type="dxa"/>
          </w:tcPr>
          <w:p w14:paraId="2BF61A4E" w14:textId="77777777" w:rsidR="00694A80" w:rsidRDefault="00000000">
            <w:pPr>
              <w:tabs>
                <w:tab w:val="left" w:pos="360"/>
              </w:tabs>
              <w:jc w:val="both"/>
              <w:rPr>
                <w:rFonts w:ascii="Arial" w:hAnsi="Arial" w:cs="Arial"/>
                <w:bCs/>
                <w:sz w:val="18"/>
                <w:szCs w:val="18"/>
              </w:rPr>
            </w:pPr>
            <w:proofErr w:type="gramStart"/>
            <w:r>
              <w:rPr>
                <w:rFonts w:ascii="Arial" w:hAnsi="Arial" w:cs="Arial"/>
                <w:bCs/>
                <w:sz w:val="18"/>
                <w:szCs w:val="18"/>
              </w:rPr>
              <w:t>Level  3</w:t>
            </w:r>
            <w:proofErr w:type="gramEnd"/>
          </w:p>
        </w:tc>
        <w:tc>
          <w:tcPr>
            <w:tcW w:w="839" w:type="dxa"/>
          </w:tcPr>
          <w:p w14:paraId="1B5BFCA1" w14:textId="77777777" w:rsidR="00694A80" w:rsidRDefault="00000000">
            <w:pPr>
              <w:tabs>
                <w:tab w:val="left" w:pos="360"/>
              </w:tabs>
              <w:jc w:val="both"/>
              <w:rPr>
                <w:rFonts w:ascii="Arial" w:hAnsi="Arial" w:cs="Arial"/>
                <w:bCs/>
                <w:sz w:val="18"/>
                <w:szCs w:val="18"/>
              </w:rPr>
            </w:pPr>
            <w:r>
              <w:rPr>
                <w:rFonts w:ascii="Arial" w:hAnsi="Arial" w:cs="Arial"/>
                <w:bCs/>
                <w:sz w:val="18"/>
                <w:szCs w:val="18"/>
              </w:rPr>
              <w:t>10</w:t>
            </w:r>
          </w:p>
        </w:tc>
        <w:tc>
          <w:tcPr>
            <w:tcW w:w="1325" w:type="dxa"/>
          </w:tcPr>
          <w:p w14:paraId="32F75B3F" w14:textId="77777777" w:rsidR="00694A80" w:rsidRDefault="00000000">
            <w:pPr>
              <w:tabs>
                <w:tab w:val="left" w:pos="360"/>
              </w:tabs>
              <w:jc w:val="both"/>
              <w:rPr>
                <w:rFonts w:ascii="Arial" w:hAnsi="Arial" w:cs="Arial"/>
                <w:bCs/>
                <w:sz w:val="18"/>
                <w:szCs w:val="18"/>
              </w:rPr>
            </w:pPr>
            <w:r>
              <w:rPr>
                <w:rFonts w:ascii="Arial" w:hAnsi="Arial" w:cs="Arial"/>
                <w:sz w:val="18"/>
                <w:szCs w:val="18"/>
              </w:rPr>
              <w:t>27.10</w:t>
            </w:r>
          </w:p>
        </w:tc>
        <w:tc>
          <w:tcPr>
            <w:tcW w:w="1554" w:type="dxa"/>
          </w:tcPr>
          <w:p w14:paraId="5674408C" w14:textId="77777777" w:rsidR="00694A80" w:rsidRDefault="00000000">
            <w:pPr>
              <w:tabs>
                <w:tab w:val="left" w:pos="360"/>
              </w:tabs>
              <w:jc w:val="center"/>
              <w:rPr>
                <w:rFonts w:ascii="Arial" w:hAnsi="Arial" w:cs="Arial"/>
                <w:bCs/>
                <w:sz w:val="18"/>
                <w:szCs w:val="18"/>
              </w:rPr>
            </w:pPr>
            <w:r>
              <w:rPr>
                <w:rFonts w:ascii="Arial" w:hAnsi="Arial" w:cs="Arial"/>
                <w:sz w:val="18"/>
                <w:szCs w:val="18"/>
              </w:rPr>
              <w:t>4.05</w:t>
            </w:r>
          </w:p>
        </w:tc>
      </w:tr>
    </w:tbl>
    <w:p w14:paraId="74C856A6" w14:textId="77777777" w:rsidR="00694A80" w:rsidRDefault="00694A80">
      <w:pPr>
        <w:tabs>
          <w:tab w:val="left" w:pos="360"/>
        </w:tabs>
        <w:ind w:left="720"/>
        <w:jc w:val="both"/>
        <w:rPr>
          <w:rFonts w:ascii="Arial" w:hAnsi="Arial" w:cs="Arial"/>
          <w:bCs/>
          <w:sz w:val="18"/>
          <w:szCs w:val="18"/>
        </w:rPr>
      </w:pPr>
    </w:p>
    <w:p w14:paraId="44B1081A" w14:textId="77777777" w:rsidR="00694A80" w:rsidRDefault="00000000">
      <w:pPr>
        <w:tabs>
          <w:tab w:val="left" w:pos="360"/>
        </w:tabs>
        <w:jc w:val="both"/>
        <w:rPr>
          <w:rFonts w:ascii="Arial" w:hAnsi="Arial" w:cs="Arial"/>
          <w:bCs/>
          <w:sz w:val="18"/>
          <w:szCs w:val="18"/>
        </w:rPr>
      </w:pPr>
      <w:r>
        <w:rPr>
          <w:rFonts w:ascii="Arial" w:hAnsi="Arial" w:cs="Arial"/>
          <w:bCs/>
          <w:sz w:val="18"/>
          <w:szCs w:val="18"/>
        </w:rPr>
        <w:t>B)</w:t>
      </w:r>
      <w:r>
        <w:rPr>
          <w:rFonts w:ascii="Arial" w:hAnsi="Arial" w:cs="Arial"/>
          <w:bCs/>
          <w:sz w:val="18"/>
          <w:szCs w:val="18"/>
        </w:rPr>
        <w:tab/>
        <w:t>External Evaluation:</w:t>
      </w:r>
    </w:p>
    <w:p w14:paraId="5690B991" w14:textId="77777777" w:rsidR="00694A80" w:rsidRDefault="00000000">
      <w:pPr>
        <w:tabs>
          <w:tab w:val="left" w:pos="360"/>
        </w:tabs>
        <w:ind w:left="360"/>
        <w:jc w:val="both"/>
        <w:rPr>
          <w:rFonts w:ascii="Arial" w:hAnsi="Arial" w:cs="Arial"/>
          <w:bCs/>
          <w:sz w:val="18"/>
          <w:szCs w:val="18"/>
        </w:rPr>
      </w:pPr>
      <w:r>
        <w:rPr>
          <w:rFonts w:ascii="Arial" w:hAnsi="Arial" w:cs="Arial"/>
          <w:bCs/>
          <w:sz w:val="18"/>
          <w:szCs w:val="18"/>
        </w:rPr>
        <w:t>Testosterone ELISA has been evaluated by a NABL accredited lab against their reference method. In this evaluation Testosterone ELISA has demonstrated 95% correlation with the reference method.</w:t>
      </w:r>
    </w:p>
    <w:p w14:paraId="092BCDA4" w14:textId="77777777" w:rsidR="00694A80" w:rsidRDefault="00000000">
      <w:pPr>
        <w:tabs>
          <w:tab w:val="left" w:pos="360"/>
        </w:tabs>
        <w:jc w:val="both"/>
        <w:rPr>
          <w:rFonts w:ascii="Arial" w:hAnsi="Arial" w:cs="Arial"/>
          <w:bCs/>
          <w:sz w:val="18"/>
          <w:szCs w:val="18"/>
        </w:rPr>
      </w:pPr>
      <w:r>
        <w:rPr>
          <w:rFonts w:ascii="Arial" w:hAnsi="Arial" w:cs="Arial"/>
          <w:bCs/>
          <w:sz w:val="18"/>
          <w:szCs w:val="18"/>
        </w:rPr>
        <w:tab/>
        <w:t>*Data file: Orchid Biomedical Systems (P) Ltd.</w:t>
      </w:r>
    </w:p>
    <w:p w14:paraId="707CB782" w14:textId="77777777" w:rsidR="00694A80" w:rsidRDefault="00694A80">
      <w:pPr>
        <w:tabs>
          <w:tab w:val="left" w:pos="360"/>
        </w:tabs>
        <w:jc w:val="both"/>
        <w:rPr>
          <w:rFonts w:ascii="Arial" w:hAnsi="Arial" w:cs="Arial"/>
          <w:bCs/>
          <w:sz w:val="18"/>
          <w:szCs w:val="18"/>
        </w:rPr>
      </w:pPr>
    </w:p>
    <w:p w14:paraId="7B98F97F" w14:textId="77777777" w:rsidR="00694A80" w:rsidRDefault="00000000">
      <w:pPr>
        <w:tabs>
          <w:tab w:val="left" w:pos="360"/>
        </w:tabs>
        <w:jc w:val="both"/>
        <w:rPr>
          <w:rFonts w:ascii="Arial" w:hAnsi="Arial" w:cs="Arial"/>
          <w:bCs/>
          <w:sz w:val="18"/>
          <w:szCs w:val="18"/>
        </w:rPr>
      </w:pPr>
      <w:r>
        <w:rPr>
          <w:rFonts w:ascii="Arial" w:hAnsi="Arial" w:cs="Arial"/>
          <w:bCs/>
          <w:sz w:val="18"/>
          <w:szCs w:val="18"/>
        </w:rPr>
        <w:t>IMPORTANT NOTE</w:t>
      </w:r>
    </w:p>
    <w:p w14:paraId="36A88655" w14:textId="77777777" w:rsidR="00694A80"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7A3634D4" w14:textId="77777777" w:rsidR="00694A80"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pipettes to avoid time effect. A full plate of 96 wells may be used if automated pipetting is available.</w:t>
      </w:r>
    </w:p>
    <w:p w14:paraId="0C95B3F0" w14:textId="77777777" w:rsidR="00694A80"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Duplication of standards, controls and samples is not mandatory but may provide information on reproducibility &amp; application errors.</w:t>
      </w:r>
    </w:p>
    <w:p w14:paraId="6624A8AB" w14:textId="77777777" w:rsidR="00694A80" w:rsidRDefault="00694A80">
      <w:pPr>
        <w:tabs>
          <w:tab w:val="left" w:pos="360"/>
        </w:tabs>
        <w:jc w:val="both"/>
        <w:rPr>
          <w:rFonts w:ascii="Arial" w:hAnsi="Arial" w:cs="Arial"/>
          <w:bCs/>
          <w:sz w:val="18"/>
          <w:szCs w:val="18"/>
        </w:rPr>
      </w:pPr>
    </w:p>
    <w:p w14:paraId="2767A7F3" w14:textId="77777777" w:rsidR="00694A80" w:rsidRDefault="00000000">
      <w:pPr>
        <w:tabs>
          <w:tab w:val="left" w:pos="360"/>
        </w:tabs>
        <w:jc w:val="both"/>
        <w:rPr>
          <w:rFonts w:ascii="Arial" w:hAnsi="Arial" w:cs="Arial"/>
          <w:bCs/>
          <w:sz w:val="18"/>
          <w:szCs w:val="18"/>
        </w:rPr>
      </w:pPr>
      <w:r>
        <w:rPr>
          <w:rFonts w:ascii="Arial" w:hAnsi="Arial" w:cs="Arial"/>
          <w:bCs/>
          <w:sz w:val="18"/>
          <w:szCs w:val="18"/>
        </w:rPr>
        <w:t>LIMITATIONS OF THE ASSAY</w:t>
      </w:r>
    </w:p>
    <w:p w14:paraId="4EA2EA78" w14:textId="77777777" w:rsidR="00694A80"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w:t>
      </w:r>
    </w:p>
    <w:p w14:paraId="5B09EB96" w14:textId="77777777" w:rsidR="00694A80"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 </w:t>
      </w:r>
    </w:p>
    <w:p w14:paraId="269FCC36" w14:textId="77777777" w:rsidR="00694A80"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5B69EA9D" w14:textId="77777777" w:rsidR="00694A80"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095A6F51" w14:textId="77777777" w:rsidR="00694A80" w:rsidRDefault="00694A80">
      <w:pPr>
        <w:tabs>
          <w:tab w:val="left" w:pos="360"/>
        </w:tabs>
        <w:jc w:val="both"/>
        <w:rPr>
          <w:rFonts w:ascii="Arial" w:hAnsi="Arial" w:cs="Arial"/>
          <w:bCs/>
          <w:sz w:val="18"/>
          <w:szCs w:val="18"/>
        </w:rPr>
      </w:pPr>
    </w:p>
    <w:p w14:paraId="6D6D2794" w14:textId="77777777" w:rsidR="00694A80" w:rsidRDefault="00000000">
      <w:pPr>
        <w:tabs>
          <w:tab w:val="left" w:pos="360"/>
        </w:tabs>
        <w:jc w:val="both"/>
        <w:rPr>
          <w:rFonts w:ascii="Arial" w:hAnsi="Arial" w:cs="Arial"/>
          <w:bCs/>
          <w:sz w:val="18"/>
          <w:szCs w:val="18"/>
        </w:rPr>
      </w:pPr>
      <w:r>
        <w:rPr>
          <w:rFonts w:ascii="Arial" w:hAnsi="Arial" w:cs="Arial"/>
          <w:bCs/>
          <w:sz w:val="18"/>
          <w:szCs w:val="18"/>
        </w:rPr>
        <w:t>BIBLIOGRAPHY</w:t>
      </w:r>
      <w:r>
        <w:rPr>
          <w:rFonts w:ascii="Arial" w:hAnsi="Arial" w:cs="Arial"/>
          <w:bCs/>
          <w:sz w:val="18"/>
          <w:szCs w:val="18"/>
        </w:rPr>
        <w:tab/>
      </w:r>
    </w:p>
    <w:p w14:paraId="0F94389A" w14:textId="77777777" w:rsidR="00694A80"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Chen, A., Bookstein, J.J., Meldrum, D.R., Diagnosis of a testosterone-secreting adrenal adenoma by selective </w:t>
      </w:r>
      <w:proofErr w:type="gramStart"/>
      <w:r>
        <w:rPr>
          <w:rFonts w:ascii="Arial" w:hAnsi="Arial" w:cs="Arial"/>
          <w:bCs/>
          <w:sz w:val="18"/>
          <w:szCs w:val="18"/>
        </w:rPr>
        <w:t>venous  catheterization</w:t>
      </w:r>
      <w:proofErr w:type="gramEnd"/>
      <w:r>
        <w:rPr>
          <w:rFonts w:ascii="Arial" w:hAnsi="Arial" w:cs="Arial"/>
          <w:bCs/>
          <w:sz w:val="18"/>
          <w:szCs w:val="18"/>
        </w:rPr>
        <w:t xml:space="preserve">. Fertil. </w:t>
      </w:r>
      <w:proofErr w:type="spellStart"/>
      <w:r>
        <w:rPr>
          <w:rFonts w:ascii="Arial" w:hAnsi="Arial" w:cs="Arial"/>
          <w:bCs/>
          <w:sz w:val="18"/>
          <w:szCs w:val="18"/>
        </w:rPr>
        <w:t>Steril</w:t>
      </w:r>
      <w:proofErr w:type="spellEnd"/>
      <w:r>
        <w:rPr>
          <w:rFonts w:ascii="Arial" w:hAnsi="Arial" w:cs="Arial"/>
          <w:bCs/>
          <w:sz w:val="18"/>
          <w:szCs w:val="18"/>
        </w:rPr>
        <w:t>., 1991; 55: 1202-1203.</w:t>
      </w:r>
    </w:p>
    <w:p w14:paraId="444C2BB6" w14:textId="77777777" w:rsidR="00694A80"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Granoff, A.B. and Abraham, G.E., Peripheral and adrenal venous levels of steroids in a patient with virilizing adrenal adenoma. Obstet. Gynecol., 1979; 53:111-115.</w:t>
      </w:r>
    </w:p>
    <w:p w14:paraId="3935AEB3" w14:textId="77777777" w:rsidR="00694A80" w:rsidRDefault="00000000">
      <w:pPr>
        <w:pStyle w:val="ListParagraph"/>
        <w:numPr>
          <w:ilvl w:val="0"/>
          <w:numId w:val="5"/>
        </w:numPr>
        <w:tabs>
          <w:tab w:val="left" w:pos="360"/>
        </w:tabs>
        <w:jc w:val="both"/>
        <w:rPr>
          <w:rFonts w:ascii="Arial" w:hAnsi="Arial" w:cs="Arial"/>
          <w:bCs/>
          <w:sz w:val="18"/>
          <w:szCs w:val="18"/>
        </w:rPr>
      </w:pPr>
      <w:proofErr w:type="spellStart"/>
      <w:r>
        <w:rPr>
          <w:rFonts w:ascii="Arial" w:hAnsi="Arial" w:cs="Arial"/>
          <w:bCs/>
          <w:sz w:val="18"/>
          <w:szCs w:val="18"/>
        </w:rPr>
        <w:t>Bricaire</w:t>
      </w:r>
      <w:proofErr w:type="spellEnd"/>
      <w:r>
        <w:rPr>
          <w:rFonts w:ascii="Arial" w:hAnsi="Arial" w:cs="Arial"/>
          <w:bCs/>
          <w:sz w:val="18"/>
          <w:szCs w:val="18"/>
        </w:rPr>
        <w:t xml:space="preserve">, C., Raynaud, A., </w:t>
      </w:r>
      <w:proofErr w:type="spellStart"/>
      <w:r>
        <w:rPr>
          <w:rFonts w:ascii="Arial" w:hAnsi="Arial" w:cs="Arial"/>
          <w:bCs/>
          <w:sz w:val="18"/>
          <w:szCs w:val="18"/>
        </w:rPr>
        <w:t>Benotmane</w:t>
      </w:r>
      <w:proofErr w:type="spellEnd"/>
      <w:r>
        <w:rPr>
          <w:rFonts w:ascii="Arial" w:hAnsi="Arial" w:cs="Arial"/>
          <w:bCs/>
          <w:sz w:val="18"/>
          <w:szCs w:val="18"/>
        </w:rPr>
        <w:t>, A., et al., Selective venous catheterization in the evaluation of hyperandrogenism. J. Endocrinol Invest., 1991; 14: 949-956.</w:t>
      </w:r>
    </w:p>
    <w:p w14:paraId="5B7BCABD" w14:textId="77777777" w:rsidR="00694A80"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Heinonen, P.K., Androgen production by epithelial ovarian </w:t>
      </w:r>
      <w:proofErr w:type="spellStart"/>
      <w:r>
        <w:rPr>
          <w:rFonts w:ascii="Arial" w:hAnsi="Arial" w:cs="Arial"/>
          <w:bCs/>
          <w:sz w:val="18"/>
          <w:szCs w:val="18"/>
        </w:rPr>
        <w:t>tumours</w:t>
      </w:r>
      <w:proofErr w:type="spellEnd"/>
      <w:r>
        <w:rPr>
          <w:rFonts w:ascii="Arial" w:hAnsi="Arial" w:cs="Arial"/>
          <w:bCs/>
          <w:sz w:val="18"/>
          <w:szCs w:val="18"/>
        </w:rPr>
        <w:t xml:space="preserve"> in post-menopausal women. </w:t>
      </w:r>
      <w:proofErr w:type="spellStart"/>
      <w:r>
        <w:rPr>
          <w:rFonts w:ascii="Arial" w:hAnsi="Arial" w:cs="Arial"/>
          <w:bCs/>
          <w:sz w:val="18"/>
          <w:szCs w:val="18"/>
        </w:rPr>
        <w:t>Maturitas</w:t>
      </w:r>
      <w:proofErr w:type="spellEnd"/>
      <w:r>
        <w:rPr>
          <w:rFonts w:ascii="Arial" w:hAnsi="Arial" w:cs="Arial"/>
          <w:bCs/>
          <w:sz w:val="18"/>
          <w:szCs w:val="18"/>
        </w:rPr>
        <w:t>, 1991; 13: 117-117-122.</w:t>
      </w:r>
    </w:p>
    <w:p w14:paraId="371D99F7" w14:textId="77777777" w:rsidR="00694A80"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Tietz, N.W. ed., Clinical Guide to Laboratory Tests, 3rd Edition, W.B. Saunders, Co., Philadelphia, 1995: 578-580.</w:t>
      </w:r>
    </w:p>
    <w:p w14:paraId="05A86264" w14:textId="77777777" w:rsidR="00694A80"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USA Center for Disease Control/National Institute of Health Manual, “Biosafety in Microbiological and Biomedical Laboratories"” 1984.</w:t>
      </w:r>
    </w:p>
    <w:p w14:paraId="27D338A6" w14:textId="77777777" w:rsidR="00694A80" w:rsidRDefault="00000000">
      <w:pPr>
        <w:pStyle w:val="ListParagraph"/>
        <w:numPr>
          <w:ilvl w:val="0"/>
          <w:numId w:val="5"/>
        </w:numPr>
        <w:tabs>
          <w:tab w:val="left" w:pos="360"/>
        </w:tabs>
        <w:jc w:val="both"/>
      </w:pPr>
      <w:r>
        <w:rPr>
          <w:rFonts w:ascii="Arial" w:hAnsi="Arial" w:cs="Arial"/>
          <w:bCs/>
          <w:sz w:val="18"/>
          <w:szCs w:val="18"/>
        </w:rPr>
        <w:t>Data on file: Orchid Biomedical Systems (P) Ltd.</w:t>
      </w:r>
    </w:p>
    <w:p w14:paraId="6D30F31F" w14:textId="77777777" w:rsidR="00694A80" w:rsidRDefault="00694A80">
      <w:pPr>
        <w:tabs>
          <w:tab w:val="left" w:pos="360"/>
        </w:tabs>
        <w:jc w:val="both"/>
      </w:pPr>
    </w:p>
    <w:p w14:paraId="09EBDCA8" w14:textId="77777777" w:rsidR="00694A80" w:rsidRDefault="00694A80">
      <w:pPr>
        <w:tabs>
          <w:tab w:val="left" w:pos="360"/>
        </w:tabs>
        <w:jc w:val="both"/>
      </w:pPr>
    </w:p>
    <w:p w14:paraId="387CDE31" w14:textId="77777777" w:rsidR="00694A80" w:rsidRDefault="00694A80">
      <w:pPr>
        <w:tabs>
          <w:tab w:val="left" w:pos="360"/>
        </w:tabs>
        <w:jc w:val="both"/>
      </w:pPr>
    </w:p>
    <w:p w14:paraId="2964CA61" w14:textId="77777777" w:rsidR="00694A80" w:rsidRDefault="00000000">
      <w:pPr>
        <w:tabs>
          <w:tab w:val="left" w:pos="360"/>
        </w:tabs>
        <w:jc w:val="both"/>
      </w:pPr>
      <w:r>
        <w:object w:dxaOrig="3796" w:dyaOrig="3210" w14:anchorId="6B14E712">
          <v:shape id="_x0000_i1026" type="#_x0000_t75" style="width:189.5pt;height:160.3pt" o:ole="">
            <v:imagedata r:id="rId10" o:title=""/>
          </v:shape>
          <o:OLEObject Type="Embed" ProgID="CorelDraw.Graphic.23" ShapeID="_x0000_i1026" DrawAspect="Content" ObjectID="_1789912898" r:id="rId11"/>
        </w:object>
      </w:r>
    </w:p>
    <w:p w14:paraId="1AB4B725" w14:textId="77777777" w:rsidR="00694A80" w:rsidRDefault="00694A80">
      <w:pPr>
        <w:tabs>
          <w:tab w:val="left" w:pos="360"/>
        </w:tabs>
      </w:pPr>
    </w:p>
    <w:p w14:paraId="44BC7BEC" w14:textId="77777777" w:rsidR="00694A80" w:rsidRDefault="00694A80">
      <w:pPr>
        <w:tabs>
          <w:tab w:val="left" w:pos="360"/>
        </w:tabs>
      </w:pPr>
    </w:p>
    <w:p w14:paraId="0DEAEA79" w14:textId="77777777" w:rsidR="00694A80" w:rsidRDefault="00694A80">
      <w:pPr>
        <w:tabs>
          <w:tab w:val="left" w:pos="360"/>
        </w:tabs>
      </w:pPr>
    </w:p>
    <w:p w14:paraId="0831E05A" w14:textId="77777777" w:rsidR="00694A80" w:rsidRDefault="00694A80">
      <w:pPr>
        <w:tabs>
          <w:tab w:val="left" w:pos="360"/>
        </w:tabs>
      </w:pPr>
    </w:p>
    <w:p w14:paraId="7C789F9A" w14:textId="77777777" w:rsidR="00694A80" w:rsidRDefault="00694A80">
      <w:pPr>
        <w:tabs>
          <w:tab w:val="left" w:pos="360"/>
        </w:tabs>
      </w:pPr>
    </w:p>
    <w:p w14:paraId="3A8FDF04" w14:textId="77777777" w:rsidR="00694A80" w:rsidRDefault="00694A80">
      <w:pPr>
        <w:tabs>
          <w:tab w:val="left" w:pos="360"/>
        </w:tabs>
      </w:pPr>
    </w:p>
    <w:p w14:paraId="3C6B70E6" w14:textId="77777777" w:rsidR="00694A80" w:rsidRDefault="00000000">
      <w:pPr>
        <w:tabs>
          <w:tab w:val="left" w:pos="360"/>
        </w:tabs>
        <w:jc w:val="center"/>
        <w:rPr>
          <w:rFonts w:ascii="Arial" w:hAnsi="Arial" w:cs="Arial"/>
          <w:i/>
          <w:sz w:val="14"/>
          <w:szCs w:val="18"/>
        </w:rPr>
      </w:pPr>
      <w:r>
        <w:object w:dxaOrig="3842" w:dyaOrig="1110" w14:anchorId="1BF1A037">
          <v:shape id="_x0000_i1027" type="#_x0000_t75" style="width:192.25pt;height:55.7pt" o:ole="">
            <v:imagedata r:id="rId12" o:title=""/>
          </v:shape>
          <o:OLEObject Type="Embed" ProgID="CorelDraw.Graphic.23" ShapeID="_x0000_i1027" DrawAspect="Content" ObjectID="_1789912899" r:id="rId13"/>
        </w:object>
      </w:r>
    </w:p>
    <w:sectPr w:rsidR="00694A80">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2A82EF" w14:textId="77777777" w:rsidR="0025772E" w:rsidRDefault="0025772E">
      <w:r>
        <w:separator/>
      </w:r>
    </w:p>
  </w:endnote>
  <w:endnote w:type="continuationSeparator" w:id="0">
    <w:p w14:paraId="75DB5672" w14:textId="77777777" w:rsidR="0025772E" w:rsidRDefault="00257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E894EB" w14:textId="77777777" w:rsidR="00694A80" w:rsidRDefault="00694A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D18047" w14:textId="77777777" w:rsidR="00694A80"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F619F0" w14:textId="77777777" w:rsidR="00694A80" w:rsidRDefault="00694A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740863" w14:textId="77777777" w:rsidR="0025772E" w:rsidRDefault="0025772E">
      <w:r>
        <w:separator/>
      </w:r>
    </w:p>
  </w:footnote>
  <w:footnote w:type="continuationSeparator" w:id="0">
    <w:p w14:paraId="38C5400F" w14:textId="77777777" w:rsidR="0025772E" w:rsidRDefault="002577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C5DB44" w14:textId="77777777" w:rsidR="00694A80" w:rsidRDefault="00694A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382459" w14:textId="77777777" w:rsidR="00694A80" w:rsidRDefault="00694A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056F5D" w14:textId="77777777" w:rsidR="00694A80" w:rsidRDefault="00694A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B022AC"/>
    <w:multiLevelType w:val="multilevel"/>
    <w:tmpl w:val="15B022AC"/>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36C0214C"/>
    <w:multiLevelType w:val="multilevel"/>
    <w:tmpl w:val="36C0214C"/>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 w15:restartNumberingAfterBreak="0">
    <w:nsid w:val="4F3B5736"/>
    <w:multiLevelType w:val="multilevel"/>
    <w:tmpl w:val="4F3B573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6482DB9"/>
    <w:multiLevelType w:val="multilevel"/>
    <w:tmpl w:val="66482DB9"/>
    <w:lvl w:ilvl="0">
      <w:start w:val="1"/>
      <w:numFmt w:val="decimal"/>
      <w:lvlText w:val="%1."/>
      <w:lvlJc w:val="left"/>
      <w:pPr>
        <w:ind w:left="765" w:hanging="40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7A82C2E"/>
    <w:multiLevelType w:val="multilevel"/>
    <w:tmpl w:val="77A82C2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49593442">
    <w:abstractNumId w:val="0"/>
  </w:num>
  <w:num w:numId="2" w16cid:durableId="1887721145">
    <w:abstractNumId w:val="1"/>
  </w:num>
  <w:num w:numId="3" w16cid:durableId="1129737013">
    <w:abstractNumId w:val="4"/>
  </w:num>
  <w:num w:numId="4" w16cid:durableId="1898202832">
    <w:abstractNumId w:val="3"/>
  </w:num>
  <w:num w:numId="5" w16cid:durableId="17466039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032CD"/>
    <w:rsid w:val="00004A29"/>
    <w:rsid w:val="00065081"/>
    <w:rsid w:val="000704DC"/>
    <w:rsid w:val="0007131F"/>
    <w:rsid w:val="000848AD"/>
    <w:rsid w:val="000B0CEA"/>
    <w:rsid w:val="000D03F5"/>
    <w:rsid w:val="000E17FF"/>
    <w:rsid w:val="000F2C37"/>
    <w:rsid w:val="001035A4"/>
    <w:rsid w:val="001214F1"/>
    <w:rsid w:val="00131B4D"/>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43330"/>
    <w:rsid w:val="0025772E"/>
    <w:rsid w:val="002A021A"/>
    <w:rsid w:val="002B2AAA"/>
    <w:rsid w:val="002D1DE3"/>
    <w:rsid w:val="002D4C93"/>
    <w:rsid w:val="002E491C"/>
    <w:rsid w:val="0030216B"/>
    <w:rsid w:val="0030235F"/>
    <w:rsid w:val="00325EE7"/>
    <w:rsid w:val="003447F8"/>
    <w:rsid w:val="00350958"/>
    <w:rsid w:val="00367BE0"/>
    <w:rsid w:val="003C2AD4"/>
    <w:rsid w:val="003C6025"/>
    <w:rsid w:val="00415F51"/>
    <w:rsid w:val="004277E1"/>
    <w:rsid w:val="004569D5"/>
    <w:rsid w:val="00475744"/>
    <w:rsid w:val="00490520"/>
    <w:rsid w:val="004A017D"/>
    <w:rsid w:val="004A749E"/>
    <w:rsid w:val="004F00B7"/>
    <w:rsid w:val="0053059F"/>
    <w:rsid w:val="00580FE2"/>
    <w:rsid w:val="005967F3"/>
    <w:rsid w:val="005B47DA"/>
    <w:rsid w:val="005C438D"/>
    <w:rsid w:val="005C4601"/>
    <w:rsid w:val="005C7851"/>
    <w:rsid w:val="005D14FD"/>
    <w:rsid w:val="005F6BCB"/>
    <w:rsid w:val="006863E2"/>
    <w:rsid w:val="00690FA0"/>
    <w:rsid w:val="00691164"/>
    <w:rsid w:val="00691AF2"/>
    <w:rsid w:val="0069319B"/>
    <w:rsid w:val="00693A7F"/>
    <w:rsid w:val="00694A80"/>
    <w:rsid w:val="006B68A2"/>
    <w:rsid w:val="006C1D4D"/>
    <w:rsid w:val="006E51E2"/>
    <w:rsid w:val="006F1917"/>
    <w:rsid w:val="00724436"/>
    <w:rsid w:val="007417BA"/>
    <w:rsid w:val="00763725"/>
    <w:rsid w:val="007650B8"/>
    <w:rsid w:val="007709B4"/>
    <w:rsid w:val="007743C8"/>
    <w:rsid w:val="00780A13"/>
    <w:rsid w:val="007846E1"/>
    <w:rsid w:val="00791CE1"/>
    <w:rsid w:val="0080477D"/>
    <w:rsid w:val="008060B9"/>
    <w:rsid w:val="00807308"/>
    <w:rsid w:val="008131CD"/>
    <w:rsid w:val="0086479E"/>
    <w:rsid w:val="00880D76"/>
    <w:rsid w:val="008E507D"/>
    <w:rsid w:val="00922C13"/>
    <w:rsid w:val="009271F7"/>
    <w:rsid w:val="0093184E"/>
    <w:rsid w:val="00960D48"/>
    <w:rsid w:val="00991FA3"/>
    <w:rsid w:val="00993132"/>
    <w:rsid w:val="00994741"/>
    <w:rsid w:val="00997C8D"/>
    <w:rsid w:val="009A35AC"/>
    <w:rsid w:val="00A00D6C"/>
    <w:rsid w:val="00A064B6"/>
    <w:rsid w:val="00A175D1"/>
    <w:rsid w:val="00A338A3"/>
    <w:rsid w:val="00A339AD"/>
    <w:rsid w:val="00A74AA9"/>
    <w:rsid w:val="00A80735"/>
    <w:rsid w:val="00A84946"/>
    <w:rsid w:val="00AC16E8"/>
    <w:rsid w:val="00AC69B8"/>
    <w:rsid w:val="00AE7ED6"/>
    <w:rsid w:val="00AF6A29"/>
    <w:rsid w:val="00B141ED"/>
    <w:rsid w:val="00BB7358"/>
    <w:rsid w:val="00BE3603"/>
    <w:rsid w:val="00BE38FB"/>
    <w:rsid w:val="00BE437E"/>
    <w:rsid w:val="00BF4EAE"/>
    <w:rsid w:val="00C37A29"/>
    <w:rsid w:val="00C41C2A"/>
    <w:rsid w:val="00C4489E"/>
    <w:rsid w:val="00C62BF6"/>
    <w:rsid w:val="00C64B48"/>
    <w:rsid w:val="00C765E7"/>
    <w:rsid w:val="00C80C1E"/>
    <w:rsid w:val="00CA5160"/>
    <w:rsid w:val="00CA5B79"/>
    <w:rsid w:val="00CA674C"/>
    <w:rsid w:val="00CB7351"/>
    <w:rsid w:val="00CC1C17"/>
    <w:rsid w:val="00CC4CF9"/>
    <w:rsid w:val="00CE33A1"/>
    <w:rsid w:val="00CF4C14"/>
    <w:rsid w:val="00D25FE8"/>
    <w:rsid w:val="00D72C8C"/>
    <w:rsid w:val="00D740F5"/>
    <w:rsid w:val="00D86CBB"/>
    <w:rsid w:val="00DA500C"/>
    <w:rsid w:val="00DB2FE4"/>
    <w:rsid w:val="00E05601"/>
    <w:rsid w:val="00E25627"/>
    <w:rsid w:val="00E2719F"/>
    <w:rsid w:val="00E67E07"/>
    <w:rsid w:val="00E73CF2"/>
    <w:rsid w:val="00E82464"/>
    <w:rsid w:val="00EA6728"/>
    <w:rsid w:val="00EB4AFD"/>
    <w:rsid w:val="00EB550C"/>
    <w:rsid w:val="00EE0E53"/>
    <w:rsid w:val="00F00A6A"/>
    <w:rsid w:val="00F012BA"/>
    <w:rsid w:val="00F109BB"/>
    <w:rsid w:val="00F15018"/>
    <w:rsid w:val="00F27FE4"/>
    <w:rsid w:val="00F74F7B"/>
    <w:rsid w:val="00F818A7"/>
    <w:rsid w:val="00F92675"/>
    <w:rsid w:val="00FC3676"/>
    <w:rsid w:val="00FD3AA9"/>
    <w:rsid w:val="4D8518DF"/>
    <w:rsid w:val="52880DD3"/>
    <w:rsid w:val="590E22C6"/>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8E98088"/>
  <w15:docId w15:val="{B24497E5-ADB0-4A1F-81FC-F47549AC9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1856</Words>
  <Characters>10585</Characters>
  <Application>Microsoft Office Word</Application>
  <DocSecurity>0</DocSecurity>
  <Lines>88</Lines>
  <Paragraphs>24</Paragraphs>
  <ScaleCrop>false</ScaleCrop>
  <Company>E&amp;E Labs, Inc.</Company>
  <LinksUpToDate>false</LinksUpToDate>
  <CharactersWithSpaces>12417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36</cp:revision>
  <cp:lastPrinted>2008-08-26T11:33:00Z</cp:lastPrinted>
  <dcterms:created xsi:type="dcterms:W3CDTF">2024-08-01T07:51:00Z</dcterms:created>
  <dcterms:modified xsi:type="dcterms:W3CDTF">2024-10-08T11:45:00Z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57BEB8F07FAA4286AAF665E651F9078D_12</vt:lpwstr>
  </property>
</Properties>
</file>