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9E25E0">
      <w:pPr>
        <w:pStyle w:val="9"/>
        <w:tabs>
          <w:tab w:val="clear" w:pos="4320"/>
          <w:tab w:val="clear" w:pos="8640"/>
        </w:tabs>
        <w:rPr>
          <w:sz w:val="24"/>
        </w:rPr>
      </w:pPr>
      <w:r>
        <mc:AlternateContent>
          <mc:Choice Requires="wps">
            <w:drawing>
              <wp:anchor distT="0" distB="0" distL="114300" distR="114300" simplePos="0" relativeHeight="251659264" behindDoc="0" locked="0" layoutInCell="0" allowOverlap="1">
                <wp:simplePos x="0" y="0"/>
                <wp:positionH relativeFrom="column">
                  <wp:posOffset>95250</wp:posOffset>
                </wp:positionH>
                <wp:positionV relativeFrom="paragraph">
                  <wp:posOffset>3810</wp:posOffset>
                </wp:positionV>
                <wp:extent cx="2651760" cy="779145"/>
                <wp:effectExtent l="0" t="0" r="0" b="0"/>
                <wp:wrapNone/>
                <wp:docPr id="1889227577" name="Rectangle 2"/>
                <wp:cNvGraphicFramePr/>
                <a:graphic xmlns:a="http://schemas.openxmlformats.org/drawingml/2006/main">
                  <a:graphicData uri="http://schemas.microsoft.com/office/word/2010/wordprocessingShape">
                    <wps:wsp>
                      <wps:cNvSpPr>
                        <a:spLocks noChangeArrowheads="1"/>
                      </wps:cNvSpPr>
                      <wps:spPr bwMode="auto">
                        <a:xfrm>
                          <a:off x="0" y="0"/>
                          <a:ext cx="2651760" cy="779145"/>
                        </a:xfrm>
                        <a:prstGeom prst="rect">
                          <a:avLst/>
                        </a:prstGeom>
                        <a:noFill/>
                        <a:ln>
                          <a:noFill/>
                        </a:ln>
                        <a:effectLst/>
                      </wps:spPr>
                      <wps:txbx>
                        <w:txbxContent>
                          <w:p w14:paraId="7D19F919">
                            <w:pPr>
                              <w:jc w:val="center"/>
                              <w:rPr>
                                <w:rFonts w:ascii="Bookman Old Style" w:hAnsi="Bookman Old Style"/>
                                <w:b/>
                                <w:sz w:val="24"/>
                              </w:rPr>
                            </w:pPr>
                            <w:r>
                              <w:rPr>
                                <w:rFonts w:ascii="Bookman Old Style" w:hAnsi="Bookman Old Style"/>
                                <w:b/>
                                <w:sz w:val="24"/>
                              </w:rPr>
                              <w:t>Rubella IgG</w:t>
                            </w:r>
                          </w:p>
                          <w:p w14:paraId="52E12930">
                            <w:pPr>
                              <w:jc w:val="center"/>
                              <w:rPr>
                                <w:rFonts w:ascii="Bookman Old Style" w:hAnsi="Bookman Old Style"/>
                                <w:b/>
                                <w:sz w:val="24"/>
                              </w:rPr>
                            </w:pPr>
                            <w:r>
                              <w:rPr>
                                <w:rFonts w:ascii="Bookman Old Style" w:hAnsi="Bookman Old Style"/>
                                <w:b/>
                                <w:sz w:val="24"/>
                              </w:rPr>
                              <w:t xml:space="preserve">ENZYME IMMUNOASSAY </w:t>
                            </w:r>
                          </w:p>
                          <w:p w14:paraId="22F5F1ED">
                            <w:pPr>
                              <w:jc w:val="center"/>
                              <w:rPr>
                                <w:rFonts w:ascii="Bookman Old Style" w:hAnsi="Bookman Old Style"/>
                                <w:b/>
                                <w:sz w:val="24"/>
                              </w:rPr>
                            </w:pPr>
                            <w:r>
                              <w:rPr>
                                <w:rFonts w:ascii="Bookman Old Style" w:hAnsi="Bookman Old Style"/>
                                <w:b/>
                                <w:sz w:val="24"/>
                              </w:rPr>
                              <w:t>TEST KIT</w:t>
                            </w:r>
                          </w:p>
                          <w:p w14:paraId="504EE29E">
                            <w:pPr>
                              <w:jc w:val="center"/>
                              <w:rPr>
                                <w:b/>
                                <w:sz w:val="28"/>
                              </w:rPr>
                            </w:pPr>
                          </w:p>
                        </w:txbxContent>
                      </wps:txbx>
                      <wps:bodyPr rot="0" vert="horz" wrap="square" lIns="12700" tIns="12700" rIns="12700" bIns="12700" anchor="t" anchorCtr="0" upright="1">
                        <a:noAutofit/>
                      </wps:bodyPr>
                    </wps:wsp>
                  </a:graphicData>
                </a:graphic>
              </wp:anchor>
            </w:drawing>
          </mc:Choice>
          <mc:Fallback>
            <w:pict>
              <v:rect id="Rectangle 2" o:spid="_x0000_s1026" o:spt="1" style="position:absolute;left:0pt;margin-left:7.5pt;margin-top:0.3pt;height:61.35pt;width:208.8pt;z-index:251659264;mso-width-relative:page;mso-height-relative:page;" filled="f" stroked="f" coordsize="21600,21600" o:allowincell="f" o:gfxdata="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&#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7dFIvVAAAABwEAAA8AAAAAAAAAAQAgAAAAIgAAAGRy&#10;cy9kb3ducmV2LnhtbFBLAQIUABQAAAAIAIdO4kCTGuwvCAIAACIEAAAOAAAAAAAAAAEAIAAAACQB&#10;AABkcnMvZTJvRG9jLnhtbFBLBQYAAAAABgAGAFkBAACeBQAAAAA=&#10;">
                <v:fill on="f" focussize="0,0"/>
                <v:stroke on="f"/>
                <v:imagedata o:title=""/>
                <o:lock v:ext="edit" aspectratio="f"/>
                <v:textbox inset="1pt,1pt,1pt,1pt">
                  <w:txbxContent>
                    <w:p w14:paraId="7D19F919">
                      <w:pPr>
                        <w:jc w:val="center"/>
                        <w:rPr>
                          <w:rFonts w:ascii="Bookman Old Style" w:hAnsi="Bookman Old Style"/>
                          <w:b/>
                          <w:sz w:val="24"/>
                        </w:rPr>
                      </w:pPr>
                      <w:r>
                        <w:rPr>
                          <w:rFonts w:ascii="Bookman Old Style" w:hAnsi="Bookman Old Style"/>
                          <w:b/>
                          <w:sz w:val="24"/>
                        </w:rPr>
                        <w:t>Rubella IgG</w:t>
                      </w:r>
                    </w:p>
                    <w:p w14:paraId="52E12930">
                      <w:pPr>
                        <w:jc w:val="center"/>
                        <w:rPr>
                          <w:rFonts w:ascii="Bookman Old Style" w:hAnsi="Bookman Old Style"/>
                          <w:b/>
                          <w:sz w:val="24"/>
                        </w:rPr>
                      </w:pPr>
                      <w:r>
                        <w:rPr>
                          <w:rFonts w:ascii="Bookman Old Style" w:hAnsi="Bookman Old Style"/>
                          <w:b/>
                          <w:sz w:val="24"/>
                        </w:rPr>
                        <w:t xml:space="preserve">ENZYME IMMUNOASSAY </w:t>
                      </w:r>
                    </w:p>
                    <w:p w14:paraId="22F5F1ED">
                      <w:pPr>
                        <w:jc w:val="center"/>
                        <w:rPr>
                          <w:rFonts w:ascii="Bookman Old Style" w:hAnsi="Bookman Old Style"/>
                          <w:b/>
                          <w:sz w:val="24"/>
                        </w:rPr>
                      </w:pPr>
                      <w:r>
                        <w:rPr>
                          <w:rFonts w:ascii="Bookman Old Style" w:hAnsi="Bookman Old Style"/>
                          <w:b/>
                          <w:sz w:val="24"/>
                        </w:rPr>
                        <w:t>TEST KIT</w:t>
                      </w:r>
                    </w:p>
                    <w:p w14:paraId="504EE29E">
                      <w:pPr>
                        <w:jc w:val="center"/>
                        <w:rPr>
                          <w:b/>
                          <w:sz w:val="28"/>
                        </w:rPr>
                      </w:pPr>
                    </w:p>
                  </w:txbxContent>
                </v:textbox>
              </v:rect>
            </w:pict>
          </mc:Fallback>
        </mc:AlternateContent>
      </w:r>
    </w:p>
    <w:p w14:paraId="561FB972">
      <w:pPr>
        <w:rPr>
          <w:sz w:val="24"/>
        </w:rPr>
      </w:pPr>
    </w:p>
    <w:p w14:paraId="1A1A37AA">
      <w:pPr>
        <w:rPr>
          <w:sz w:val="24"/>
        </w:rPr>
      </w:pPr>
    </w:p>
    <w:p w14:paraId="40630CD0">
      <w:pPr>
        <w:tabs>
          <w:tab w:val="left" w:pos="360"/>
        </w:tabs>
        <w:jc w:val="center"/>
        <w:rPr>
          <w:rFonts w:ascii="Arial" w:hAnsi="Arial" w:cs="Arial"/>
          <w:b/>
        </w:rPr>
      </w:pPr>
    </w:p>
    <w:p w14:paraId="056B8871">
      <w:pPr>
        <w:tabs>
          <w:tab w:val="left" w:pos="360"/>
        </w:tabs>
        <w:jc w:val="center"/>
        <w:rPr>
          <w:rFonts w:ascii="Arial" w:hAnsi="Arial" w:cs="Arial"/>
          <w:b/>
        </w:rPr>
      </w:pPr>
    </w:p>
    <w:p w14:paraId="49BB5F2F">
      <w:pPr>
        <w:tabs>
          <w:tab w:val="left" w:pos="360"/>
        </w:tabs>
        <w:jc w:val="center"/>
        <w:rPr>
          <w:rFonts w:ascii="Arial" w:hAnsi="Arial" w:cs="Arial"/>
          <w:b/>
        </w:rPr>
      </w:pPr>
      <w:r>
        <w:rPr>
          <w:rFonts w:ascii="Arial" w:hAnsi="Arial" w:cs="Arial"/>
          <w:b/>
        </w:rPr>
        <w:t>Enzyme Linked Immunosorbent Assay (ELISA) for Quantitative Detection of Rubella IgG antibody in Human</w:t>
      </w:r>
      <w:r>
        <w:rPr>
          <w:rFonts w:hint="default" w:ascii="Arial" w:hAnsi="Arial" w:cs="Arial"/>
          <w:b/>
          <w:lang w:val="en-GB"/>
        </w:rPr>
        <w:t xml:space="preserve"> </w:t>
      </w:r>
      <w:r>
        <w:rPr>
          <w:rFonts w:ascii="Arial" w:hAnsi="Arial" w:cs="Arial"/>
          <w:b/>
        </w:rPr>
        <w:t>Serum</w:t>
      </w:r>
    </w:p>
    <w:p w14:paraId="4A108611">
      <w:pPr>
        <w:tabs>
          <w:tab w:val="left" w:pos="360"/>
        </w:tabs>
        <w:jc w:val="center"/>
        <w:rPr>
          <w:rFonts w:ascii="Arial" w:hAnsi="Arial" w:cs="Arial"/>
          <w:b/>
        </w:rPr>
      </w:pPr>
    </w:p>
    <w:p w14:paraId="08CADD64">
      <w:pPr>
        <w:tabs>
          <w:tab w:val="left" w:pos="360"/>
        </w:tabs>
        <w:jc w:val="center"/>
        <w:rPr>
          <w:rFonts w:ascii="Arial" w:hAnsi="Arial" w:cs="Arial"/>
          <w:b/>
        </w:rPr>
      </w:pPr>
      <w:r>
        <w:rPr>
          <w:rFonts w:ascii="Arial" w:hAnsi="Arial" w:cs="Arial"/>
          <w:b/>
        </w:rPr>
        <w:t>FOR IN VITRO DIAGNOSTIC USE ONLY</w:t>
      </w:r>
    </w:p>
    <w:p w14:paraId="699BF355">
      <w:pPr>
        <w:tabs>
          <w:tab w:val="left" w:pos="360"/>
        </w:tabs>
        <w:jc w:val="center"/>
        <w:rPr>
          <w:rFonts w:ascii="Arial" w:hAnsi="Arial" w:cs="Arial"/>
          <w:b/>
        </w:rPr>
      </w:pPr>
      <w:r>
        <w:rPr>
          <w:rFonts w:ascii="Arial" w:hAnsi="Arial" w:cs="Arial"/>
          <w:b/>
        </w:rPr>
        <w:t>Store at 2°C to 8°C</w:t>
      </w:r>
    </w:p>
    <w:p w14:paraId="1ED2F1F3">
      <w:pPr>
        <w:tabs>
          <w:tab w:val="left" w:pos="360"/>
        </w:tabs>
        <w:rPr>
          <w:rFonts w:ascii="Arial" w:hAnsi="Arial" w:cs="Arial"/>
          <w:b/>
          <w:sz w:val="18"/>
          <w:szCs w:val="18"/>
        </w:rPr>
      </w:pPr>
    </w:p>
    <w:p w14:paraId="0AA6DB53">
      <w:pPr>
        <w:tabs>
          <w:tab w:val="left" w:pos="360"/>
        </w:tabs>
        <w:jc w:val="both"/>
        <w:rPr>
          <w:rFonts w:ascii="Arial" w:hAnsi="Arial" w:cs="Arial"/>
          <w:bCs/>
          <w:sz w:val="18"/>
          <w:szCs w:val="18"/>
        </w:rPr>
      </w:pPr>
    </w:p>
    <w:p w14:paraId="3E38C2AA">
      <w:pPr>
        <w:tabs>
          <w:tab w:val="left" w:pos="360"/>
        </w:tabs>
        <w:jc w:val="both"/>
        <w:rPr>
          <w:rFonts w:ascii="Arial" w:hAnsi="Arial" w:cs="Arial"/>
          <w:bCs/>
          <w:sz w:val="18"/>
          <w:szCs w:val="18"/>
        </w:rPr>
      </w:pPr>
      <w:r>
        <w:rPr>
          <w:rFonts w:ascii="Arial" w:hAnsi="Arial" w:cs="Arial"/>
          <w:bCs/>
          <w:sz w:val="18"/>
          <w:szCs w:val="18"/>
        </w:rPr>
        <w:t>INTENDED USE</w:t>
      </w:r>
    </w:p>
    <w:p w14:paraId="2290C07D">
      <w:pPr>
        <w:tabs>
          <w:tab w:val="left" w:pos="360"/>
        </w:tabs>
        <w:jc w:val="both"/>
        <w:rPr>
          <w:rFonts w:ascii="Arial" w:hAnsi="Arial" w:cs="Arial"/>
          <w:bCs/>
          <w:sz w:val="18"/>
          <w:szCs w:val="18"/>
        </w:rPr>
      </w:pPr>
      <w:r>
        <w:rPr>
          <w:rFonts w:ascii="Arial" w:hAnsi="Arial" w:cs="Arial"/>
          <w:bCs/>
          <w:sz w:val="18"/>
          <w:szCs w:val="18"/>
        </w:rPr>
        <w:t>Rubella IgG is intended for the Quantitative detection of IgG antibodies to Rubella virus infection in human serum. For in Vitro Diagnostic Use only.</w:t>
      </w:r>
    </w:p>
    <w:p w14:paraId="26352EE3">
      <w:pPr>
        <w:tabs>
          <w:tab w:val="left" w:pos="360"/>
        </w:tabs>
        <w:jc w:val="both"/>
        <w:rPr>
          <w:rFonts w:ascii="Arial" w:hAnsi="Arial" w:cs="Arial"/>
          <w:bCs/>
          <w:sz w:val="18"/>
          <w:szCs w:val="18"/>
        </w:rPr>
      </w:pPr>
    </w:p>
    <w:p w14:paraId="61548C23">
      <w:pPr>
        <w:tabs>
          <w:tab w:val="left" w:pos="360"/>
        </w:tabs>
        <w:jc w:val="both"/>
        <w:rPr>
          <w:rFonts w:ascii="Arial" w:hAnsi="Arial" w:cs="Arial"/>
          <w:bCs/>
          <w:sz w:val="18"/>
          <w:szCs w:val="18"/>
        </w:rPr>
      </w:pPr>
      <w:r>
        <w:rPr>
          <w:rFonts w:ascii="Arial" w:hAnsi="Arial" w:cs="Arial"/>
          <w:bCs/>
          <w:sz w:val="18"/>
          <w:szCs w:val="18"/>
        </w:rPr>
        <w:t>INTRODUCTION</w:t>
      </w:r>
    </w:p>
    <w:p w14:paraId="0390F41C">
      <w:pPr>
        <w:tabs>
          <w:tab w:val="left" w:pos="360"/>
        </w:tabs>
        <w:jc w:val="both"/>
        <w:rPr>
          <w:rFonts w:ascii="Arial" w:hAnsi="Arial" w:cs="Arial"/>
          <w:bCs/>
          <w:sz w:val="18"/>
          <w:szCs w:val="18"/>
        </w:rPr>
      </w:pPr>
      <w:r>
        <w:rPr>
          <w:rFonts w:ascii="Arial" w:hAnsi="Arial" w:cs="Arial"/>
          <w:bCs/>
          <w:sz w:val="18"/>
          <w:szCs w:val="18"/>
        </w:rPr>
        <w:t>Rubella is a herpes virus.  Generally, rubella is considered a mild adolescence disease; however, a maternal infection could be transmitted through the placenta to the fetus, causing congenital rubella.  Congenital rubella may result in chronic cardiac disease, growth retardation, hepatosplenomegaly, malformations and other severe abnormalities. Children born asymptomatic may develop these abnormalities later in life.</w:t>
      </w:r>
    </w:p>
    <w:p w14:paraId="6AF17E08">
      <w:pPr>
        <w:tabs>
          <w:tab w:val="left" w:pos="360"/>
        </w:tabs>
        <w:jc w:val="both"/>
        <w:rPr>
          <w:rFonts w:ascii="Arial" w:hAnsi="Arial" w:cs="Arial"/>
          <w:bCs/>
          <w:sz w:val="18"/>
          <w:szCs w:val="18"/>
        </w:rPr>
      </w:pPr>
      <w:r>
        <w:rPr>
          <w:rFonts w:ascii="Arial" w:hAnsi="Arial" w:cs="Arial"/>
          <w:bCs/>
          <w:sz w:val="18"/>
          <w:szCs w:val="18"/>
        </w:rPr>
        <w:t xml:space="preserve">To reduce risk of such severe complications, accurate serological methods must be performed to determine the serologic status of childbearing-aged women.  The presence of rubella specific IgG in the bloodstream attests immunity to rubella.  An increase in rubella IgG denotes an acute infection and differentiates rubella from other exanthematous diseases.  </w:t>
      </w:r>
    </w:p>
    <w:p w14:paraId="4D7CEB06">
      <w:pPr>
        <w:tabs>
          <w:tab w:val="left" w:pos="360"/>
        </w:tabs>
        <w:jc w:val="both"/>
        <w:rPr>
          <w:rFonts w:ascii="Arial" w:hAnsi="Arial" w:cs="Arial"/>
          <w:bCs/>
          <w:sz w:val="18"/>
          <w:szCs w:val="18"/>
        </w:rPr>
      </w:pPr>
    </w:p>
    <w:p w14:paraId="4C51113B">
      <w:pPr>
        <w:tabs>
          <w:tab w:val="left" w:pos="360"/>
        </w:tabs>
        <w:jc w:val="both"/>
        <w:rPr>
          <w:rFonts w:ascii="Arial" w:hAnsi="Arial" w:cs="Arial"/>
          <w:bCs/>
          <w:sz w:val="18"/>
          <w:szCs w:val="18"/>
        </w:rPr>
      </w:pPr>
      <w:r>
        <w:rPr>
          <w:rFonts w:ascii="Arial" w:hAnsi="Arial" w:cs="Arial"/>
          <w:bCs/>
          <w:sz w:val="18"/>
          <w:szCs w:val="18"/>
        </w:rPr>
        <w:t>PRINCIPLE OF THE ASSAY</w:t>
      </w:r>
    </w:p>
    <w:p w14:paraId="5D0EEC48">
      <w:pPr>
        <w:tabs>
          <w:tab w:val="left" w:pos="360"/>
        </w:tabs>
        <w:jc w:val="both"/>
        <w:rPr>
          <w:rFonts w:ascii="Arial" w:hAnsi="Arial" w:cs="Arial"/>
          <w:bCs/>
          <w:sz w:val="18"/>
          <w:szCs w:val="18"/>
        </w:rPr>
      </w:pPr>
      <w:r>
        <w:rPr>
          <w:rFonts w:ascii="Arial" w:hAnsi="Arial" w:cs="Arial"/>
          <w:bCs/>
          <w:sz w:val="18"/>
          <w:szCs w:val="18"/>
        </w:rPr>
        <w:t xml:space="preserve">Purified rubella antigen is coated on the surface of microwells.  Diluted patient serum is added to wells, and the rubella IgG specific antibody, if present, binds to the antigen.  All unbound materials are washed away.  A subsequent incubation with Anti-human IgG agglutinating sera conjugated with horseradish peroxidase binds to the antigen-antibody complex.  Excess enzyme conjugate is washed off, and TMB substrate is added.  The enzyme conjugate catalytic reaction is stopped at a specific time and absorbance is determined for each well at 450nm and 630nm with an ELISA reader. The intensity of the color generated is proportional to the amount of IgG specific antibody in the sample. </w:t>
      </w:r>
    </w:p>
    <w:p w14:paraId="208B7CEB">
      <w:pPr>
        <w:tabs>
          <w:tab w:val="left" w:pos="360"/>
        </w:tabs>
        <w:jc w:val="both"/>
        <w:rPr>
          <w:rFonts w:ascii="Arial" w:hAnsi="Arial" w:cs="Arial"/>
          <w:bCs/>
          <w:sz w:val="18"/>
          <w:szCs w:val="18"/>
        </w:rPr>
      </w:pPr>
    </w:p>
    <w:p w14:paraId="22441964">
      <w:pPr>
        <w:tabs>
          <w:tab w:val="left" w:pos="360"/>
        </w:tabs>
        <w:jc w:val="both"/>
        <w:rPr>
          <w:rFonts w:ascii="Arial" w:hAnsi="Arial" w:cs="Arial"/>
          <w:bCs/>
          <w:sz w:val="18"/>
          <w:szCs w:val="18"/>
        </w:rPr>
      </w:pPr>
      <w:r>
        <w:rPr>
          <w:rFonts w:ascii="Arial" w:hAnsi="Arial" w:cs="Arial"/>
          <w:bCs/>
          <w:sz w:val="18"/>
          <w:szCs w:val="18"/>
        </w:rPr>
        <w:t>MATERIALS AND COMPONENTS</w:t>
      </w:r>
    </w:p>
    <w:p w14:paraId="298ED8E3">
      <w:pPr>
        <w:tabs>
          <w:tab w:val="left" w:pos="360"/>
        </w:tabs>
        <w:jc w:val="both"/>
        <w:rPr>
          <w:rFonts w:ascii="Arial" w:hAnsi="Arial" w:cs="Arial"/>
          <w:bCs/>
          <w:sz w:val="18"/>
          <w:szCs w:val="18"/>
        </w:rPr>
      </w:pPr>
      <w:r>
        <w:rPr>
          <w:rFonts w:ascii="Arial" w:hAnsi="Arial" w:cs="Arial"/>
          <w:bCs/>
          <w:sz w:val="18"/>
          <w:szCs w:val="18"/>
        </w:rPr>
        <w:t>Materials provided with the test kit:</w:t>
      </w:r>
    </w:p>
    <w:p w14:paraId="682341D9">
      <w:pPr>
        <w:pStyle w:val="13"/>
        <w:numPr>
          <w:ilvl w:val="0"/>
          <w:numId w:val="1"/>
        </w:numPr>
        <w:tabs>
          <w:tab w:val="left" w:pos="360"/>
        </w:tabs>
        <w:jc w:val="both"/>
        <w:rPr>
          <w:rFonts w:ascii="Arial" w:hAnsi="Arial" w:cs="Arial"/>
          <w:bCs/>
          <w:sz w:val="18"/>
          <w:szCs w:val="18"/>
        </w:rPr>
      </w:pPr>
      <w:r>
        <w:rPr>
          <w:rFonts w:ascii="Arial" w:hAnsi="Arial" w:cs="Arial"/>
          <w:bCs/>
          <w:sz w:val="18"/>
          <w:szCs w:val="18"/>
        </w:rPr>
        <w:t>Coated Microwells: Rubella antigen coated wells.</w:t>
      </w:r>
    </w:p>
    <w:p w14:paraId="2BA20351">
      <w:pPr>
        <w:pStyle w:val="13"/>
        <w:numPr>
          <w:ilvl w:val="0"/>
          <w:numId w:val="1"/>
        </w:numPr>
        <w:tabs>
          <w:tab w:val="left" w:pos="360"/>
        </w:tabs>
        <w:jc w:val="both"/>
        <w:rPr>
          <w:rFonts w:ascii="Arial" w:hAnsi="Arial" w:cs="Arial"/>
          <w:bCs/>
          <w:sz w:val="18"/>
          <w:szCs w:val="18"/>
        </w:rPr>
      </w:pPr>
      <w:r>
        <w:rPr>
          <w:rFonts w:ascii="Arial" w:hAnsi="Arial" w:cs="Arial"/>
          <w:bCs/>
          <w:sz w:val="18"/>
          <w:szCs w:val="18"/>
        </w:rPr>
        <w:t>Sample Diluent. Ready to use.</w:t>
      </w:r>
    </w:p>
    <w:p w14:paraId="0165F9F8">
      <w:pPr>
        <w:pStyle w:val="13"/>
        <w:numPr>
          <w:ilvl w:val="0"/>
          <w:numId w:val="1"/>
        </w:numPr>
        <w:tabs>
          <w:tab w:val="left" w:pos="360"/>
        </w:tabs>
        <w:jc w:val="both"/>
        <w:rPr>
          <w:rFonts w:ascii="Arial" w:hAnsi="Arial" w:cs="Arial"/>
          <w:bCs/>
          <w:sz w:val="18"/>
          <w:szCs w:val="18"/>
        </w:rPr>
      </w:pPr>
      <w:r>
        <w:rPr>
          <w:rFonts w:ascii="Arial" w:hAnsi="Arial" w:cs="Arial"/>
          <w:bCs/>
          <w:sz w:val="18"/>
          <w:szCs w:val="18"/>
        </w:rPr>
        <w:t xml:space="preserve">Negative Calibrator: 0 IU/ml. </w:t>
      </w:r>
    </w:p>
    <w:p w14:paraId="403353C5">
      <w:pPr>
        <w:pStyle w:val="13"/>
        <w:numPr>
          <w:ilvl w:val="0"/>
          <w:numId w:val="1"/>
        </w:numPr>
        <w:tabs>
          <w:tab w:val="left" w:pos="360"/>
        </w:tabs>
        <w:jc w:val="both"/>
        <w:rPr>
          <w:rFonts w:ascii="Arial" w:hAnsi="Arial" w:cs="Arial"/>
          <w:bCs/>
          <w:sz w:val="18"/>
          <w:szCs w:val="18"/>
        </w:rPr>
      </w:pPr>
      <w:r>
        <w:rPr>
          <w:rFonts w:ascii="Arial" w:hAnsi="Arial" w:cs="Arial"/>
          <w:bCs/>
          <w:sz w:val="18"/>
          <w:szCs w:val="18"/>
        </w:rPr>
        <w:t xml:space="preserve">Positive Calibrator: 30 IU/ml. </w:t>
      </w:r>
    </w:p>
    <w:p w14:paraId="0C217AA5">
      <w:pPr>
        <w:pStyle w:val="13"/>
        <w:numPr>
          <w:ilvl w:val="0"/>
          <w:numId w:val="1"/>
        </w:numPr>
        <w:tabs>
          <w:tab w:val="left" w:pos="360"/>
        </w:tabs>
        <w:jc w:val="both"/>
        <w:rPr>
          <w:rFonts w:ascii="Arial" w:hAnsi="Arial" w:cs="Arial"/>
          <w:bCs/>
          <w:sz w:val="18"/>
          <w:szCs w:val="18"/>
        </w:rPr>
      </w:pPr>
      <w:r>
        <w:rPr>
          <w:rFonts w:ascii="Arial" w:hAnsi="Arial" w:cs="Arial"/>
          <w:bCs/>
          <w:sz w:val="18"/>
          <w:szCs w:val="18"/>
        </w:rPr>
        <w:t>Positive Calibrator: 100 IU/ml.</w:t>
      </w:r>
      <w:r>
        <w:rPr>
          <w:rFonts w:ascii="Arial" w:hAnsi="Arial" w:cs="Arial"/>
          <w:bCs/>
          <w:sz w:val="18"/>
          <w:szCs w:val="18"/>
        </w:rPr>
        <w:tab/>
      </w:r>
      <w:r>
        <w:rPr>
          <w:rFonts w:ascii="Arial" w:hAnsi="Arial" w:cs="Arial"/>
          <w:bCs/>
          <w:sz w:val="18"/>
          <w:szCs w:val="18"/>
        </w:rPr>
        <w:t xml:space="preserve">               </w:t>
      </w:r>
    </w:p>
    <w:p w14:paraId="7B6AD538">
      <w:pPr>
        <w:pStyle w:val="13"/>
        <w:numPr>
          <w:ilvl w:val="0"/>
          <w:numId w:val="1"/>
        </w:numPr>
        <w:tabs>
          <w:tab w:val="left" w:pos="360"/>
        </w:tabs>
        <w:jc w:val="both"/>
        <w:rPr>
          <w:rFonts w:ascii="Arial" w:hAnsi="Arial" w:cs="Arial"/>
          <w:bCs/>
          <w:sz w:val="18"/>
          <w:szCs w:val="18"/>
        </w:rPr>
      </w:pPr>
      <w:r>
        <w:rPr>
          <w:rFonts w:ascii="Arial" w:hAnsi="Arial" w:cs="Arial"/>
          <w:bCs/>
          <w:sz w:val="18"/>
          <w:szCs w:val="18"/>
        </w:rPr>
        <w:t>Negative Control: Range stated on the label.</w:t>
      </w:r>
    </w:p>
    <w:p w14:paraId="4C82B7E9">
      <w:pPr>
        <w:pStyle w:val="13"/>
        <w:numPr>
          <w:ilvl w:val="0"/>
          <w:numId w:val="1"/>
        </w:numPr>
        <w:tabs>
          <w:tab w:val="left" w:pos="360"/>
        </w:tabs>
        <w:jc w:val="both"/>
        <w:rPr>
          <w:rFonts w:ascii="Arial" w:hAnsi="Arial" w:cs="Arial"/>
          <w:bCs/>
          <w:sz w:val="18"/>
          <w:szCs w:val="18"/>
        </w:rPr>
      </w:pPr>
      <w:r>
        <w:rPr>
          <w:rFonts w:ascii="Arial" w:hAnsi="Arial" w:cs="Arial"/>
          <w:bCs/>
          <w:sz w:val="18"/>
          <w:szCs w:val="18"/>
        </w:rPr>
        <w:t>Positive Control: Range stated on the label.</w:t>
      </w:r>
    </w:p>
    <w:p w14:paraId="4DD63525">
      <w:pPr>
        <w:pStyle w:val="13"/>
        <w:numPr>
          <w:ilvl w:val="0"/>
          <w:numId w:val="1"/>
        </w:numPr>
        <w:tabs>
          <w:tab w:val="left" w:pos="360"/>
        </w:tabs>
        <w:jc w:val="both"/>
        <w:rPr>
          <w:rFonts w:ascii="Arial" w:hAnsi="Arial" w:cs="Arial"/>
          <w:bCs/>
          <w:sz w:val="18"/>
          <w:szCs w:val="18"/>
        </w:rPr>
      </w:pPr>
      <w:r>
        <w:rPr>
          <w:rFonts w:ascii="Arial" w:hAnsi="Arial" w:cs="Arial"/>
          <w:bCs/>
          <w:sz w:val="18"/>
          <w:szCs w:val="18"/>
        </w:rPr>
        <w:t xml:space="preserve">Wash Buffer Concentrate (20X).            </w:t>
      </w:r>
    </w:p>
    <w:p w14:paraId="2DC19B91">
      <w:pPr>
        <w:pStyle w:val="13"/>
        <w:numPr>
          <w:ilvl w:val="0"/>
          <w:numId w:val="1"/>
        </w:numPr>
        <w:tabs>
          <w:tab w:val="left" w:pos="360"/>
        </w:tabs>
        <w:jc w:val="both"/>
        <w:rPr>
          <w:rFonts w:ascii="Arial" w:hAnsi="Arial" w:cs="Arial"/>
          <w:bCs/>
          <w:sz w:val="18"/>
          <w:szCs w:val="18"/>
        </w:rPr>
      </w:pPr>
      <w:r>
        <w:rPr>
          <w:rFonts w:ascii="Arial" w:hAnsi="Arial" w:cs="Arial"/>
          <w:bCs/>
          <w:sz w:val="18"/>
          <w:szCs w:val="18"/>
        </w:rPr>
        <w:t>Enzyme Conjugate. Ready to use.</w:t>
      </w:r>
    </w:p>
    <w:p w14:paraId="7779DC52">
      <w:pPr>
        <w:pStyle w:val="13"/>
        <w:numPr>
          <w:ilvl w:val="0"/>
          <w:numId w:val="1"/>
        </w:numPr>
        <w:tabs>
          <w:tab w:val="left" w:pos="360"/>
        </w:tabs>
        <w:jc w:val="both"/>
        <w:rPr>
          <w:rFonts w:ascii="Arial" w:hAnsi="Arial" w:cs="Arial"/>
          <w:bCs/>
          <w:sz w:val="18"/>
          <w:szCs w:val="18"/>
        </w:rPr>
      </w:pPr>
      <w:r>
        <w:rPr>
          <w:rFonts w:ascii="Arial" w:hAnsi="Arial" w:cs="Arial"/>
          <w:bCs/>
          <w:sz w:val="18"/>
          <w:szCs w:val="18"/>
        </w:rPr>
        <w:t xml:space="preserve">Cut-off Calibrator: 15 IU/ml. Rubella G Index = 1.0.  </w:t>
      </w:r>
    </w:p>
    <w:p w14:paraId="19061D0B">
      <w:pPr>
        <w:pStyle w:val="13"/>
        <w:numPr>
          <w:ilvl w:val="0"/>
          <w:numId w:val="1"/>
        </w:numPr>
        <w:tabs>
          <w:tab w:val="left" w:pos="360"/>
        </w:tabs>
        <w:jc w:val="both"/>
        <w:rPr>
          <w:rFonts w:ascii="Arial" w:hAnsi="Arial" w:cs="Arial"/>
          <w:bCs/>
          <w:sz w:val="18"/>
          <w:szCs w:val="18"/>
        </w:rPr>
      </w:pPr>
      <w:r>
        <w:rPr>
          <w:rFonts w:ascii="Arial" w:hAnsi="Arial" w:cs="Arial"/>
          <w:bCs/>
          <w:sz w:val="18"/>
          <w:szCs w:val="18"/>
        </w:rPr>
        <w:t>TMB Substrate. Ready to use.</w:t>
      </w:r>
    </w:p>
    <w:p w14:paraId="1A94EE2A">
      <w:pPr>
        <w:pStyle w:val="13"/>
        <w:numPr>
          <w:ilvl w:val="0"/>
          <w:numId w:val="1"/>
        </w:numPr>
        <w:tabs>
          <w:tab w:val="left" w:pos="360"/>
        </w:tabs>
        <w:jc w:val="both"/>
        <w:rPr>
          <w:rFonts w:ascii="Arial" w:hAnsi="Arial" w:cs="Arial"/>
          <w:bCs/>
          <w:sz w:val="18"/>
          <w:szCs w:val="18"/>
        </w:rPr>
      </w:pPr>
      <w:r>
        <w:rPr>
          <w:rFonts w:ascii="Arial" w:hAnsi="Arial" w:cs="Arial"/>
          <w:bCs/>
          <w:sz w:val="18"/>
          <w:szCs w:val="18"/>
        </w:rPr>
        <w:t>Stop Solution.</w:t>
      </w:r>
    </w:p>
    <w:p w14:paraId="5E817974">
      <w:pPr>
        <w:pStyle w:val="13"/>
        <w:numPr>
          <w:ilvl w:val="0"/>
          <w:numId w:val="1"/>
        </w:numPr>
        <w:tabs>
          <w:tab w:val="left" w:pos="360"/>
        </w:tabs>
        <w:jc w:val="both"/>
        <w:rPr>
          <w:rFonts w:ascii="Arial" w:hAnsi="Arial" w:cs="Arial"/>
          <w:bCs/>
          <w:sz w:val="18"/>
          <w:szCs w:val="18"/>
        </w:rPr>
      </w:pPr>
      <w:r>
        <w:rPr>
          <w:rFonts w:ascii="Arial" w:hAnsi="Arial" w:cs="Arial"/>
          <w:bCs/>
          <w:sz w:val="18"/>
          <w:szCs w:val="18"/>
        </w:rPr>
        <w:t>Pack Insert.</w:t>
      </w:r>
    </w:p>
    <w:p w14:paraId="281D39D3">
      <w:pPr>
        <w:pStyle w:val="13"/>
        <w:numPr>
          <w:ilvl w:val="0"/>
          <w:numId w:val="1"/>
        </w:numPr>
        <w:tabs>
          <w:tab w:val="left" w:pos="360"/>
        </w:tabs>
        <w:jc w:val="both"/>
        <w:rPr>
          <w:rFonts w:ascii="Arial" w:hAnsi="Arial" w:cs="Arial"/>
          <w:bCs/>
          <w:sz w:val="18"/>
          <w:szCs w:val="18"/>
        </w:rPr>
      </w:pPr>
      <w:r>
        <w:rPr>
          <w:rFonts w:ascii="Arial" w:hAnsi="Arial" w:cs="Arial"/>
          <w:bCs/>
          <w:sz w:val="18"/>
          <w:szCs w:val="18"/>
        </w:rPr>
        <w:t>Protocol Sheet.</w:t>
      </w:r>
    </w:p>
    <w:p w14:paraId="04400F99">
      <w:pPr>
        <w:pStyle w:val="13"/>
        <w:numPr>
          <w:ilvl w:val="0"/>
          <w:numId w:val="1"/>
        </w:numPr>
        <w:tabs>
          <w:tab w:val="left" w:pos="360"/>
        </w:tabs>
        <w:jc w:val="both"/>
        <w:rPr>
          <w:rFonts w:ascii="Arial" w:hAnsi="Arial" w:cs="Arial"/>
          <w:bCs/>
          <w:sz w:val="18"/>
          <w:szCs w:val="18"/>
        </w:rPr>
      </w:pPr>
      <w:r>
        <w:rPr>
          <w:rFonts w:ascii="Arial" w:hAnsi="Arial" w:cs="Arial"/>
          <w:bCs/>
          <w:sz w:val="18"/>
          <w:szCs w:val="18"/>
        </w:rPr>
        <w:t>Plate Sealers.</w:t>
      </w:r>
    </w:p>
    <w:p w14:paraId="28A3200C">
      <w:pPr>
        <w:pStyle w:val="13"/>
        <w:numPr>
          <w:ilvl w:val="0"/>
          <w:numId w:val="1"/>
        </w:numPr>
        <w:tabs>
          <w:tab w:val="left" w:pos="360"/>
        </w:tabs>
        <w:jc w:val="both"/>
        <w:rPr>
          <w:rFonts w:ascii="Arial" w:hAnsi="Arial" w:cs="Arial"/>
          <w:bCs/>
          <w:sz w:val="18"/>
          <w:szCs w:val="18"/>
        </w:rPr>
      </w:pPr>
      <w:r>
        <w:rPr>
          <w:rFonts w:ascii="Arial" w:hAnsi="Arial" w:cs="Arial"/>
          <w:bCs/>
          <w:sz w:val="18"/>
          <w:szCs w:val="18"/>
        </w:rPr>
        <w:t>Microwell Holder.</w:t>
      </w:r>
    </w:p>
    <w:p w14:paraId="1511406F">
      <w:pPr>
        <w:tabs>
          <w:tab w:val="left" w:pos="360"/>
        </w:tabs>
        <w:jc w:val="both"/>
        <w:rPr>
          <w:rFonts w:ascii="Arial" w:hAnsi="Arial" w:cs="Arial"/>
          <w:bCs/>
          <w:sz w:val="18"/>
          <w:szCs w:val="18"/>
        </w:rPr>
      </w:pPr>
      <w:r>
        <w:rPr>
          <w:rFonts w:ascii="Arial" w:hAnsi="Arial" w:cs="Arial"/>
          <w:bCs/>
          <w:sz w:val="18"/>
          <w:szCs w:val="18"/>
        </w:rPr>
        <w:t>Materials required but not provided</w:t>
      </w:r>
    </w:p>
    <w:p w14:paraId="51E18E28">
      <w:pPr>
        <w:pStyle w:val="13"/>
        <w:numPr>
          <w:ilvl w:val="0"/>
          <w:numId w:val="2"/>
        </w:numPr>
        <w:tabs>
          <w:tab w:val="left" w:pos="360"/>
        </w:tabs>
        <w:jc w:val="both"/>
        <w:rPr>
          <w:rFonts w:ascii="Arial" w:hAnsi="Arial" w:cs="Arial"/>
          <w:bCs/>
          <w:sz w:val="18"/>
          <w:szCs w:val="18"/>
        </w:rPr>
      </w:pPr>
      <w:r>
        <w:rPr>
          <w:rFonts w:ascii="Arial" w:hAnsi="Arial" w:cs="Arial"/>
          <w:bCs/>
          <w:sz w:val="18"/>
          <w:szCs w:val="18"/>
        </w:rPr>
        <w:t>Precision pipettes: 10-100µl, 20-200µl, 100-1000µl</w:t>
      </w:r>
    </w:p>
    <w:p w14:paraId="55177856">
      <w:pPr>
        <w:pStyle w:val="13"/>
        <w:numPr>
          <w:ilvl w:val="0"/>
          <w:numId w:val="2"/>
        </w:numPr>
        <w:tabs>
          <w:tab w:val="left" w:pos="360"/>
        </w:tabs>
        <w:jc w:val="both"/>
        <w:rPr>
          <w:rFonts w:ascii="Arial" w:hAnsi="Arial" w:cs="Arial"/>
          <w:bCs/>
          <w:sz w:val="18"/>
          <w:szCs w:val="18"/>
        </w:rPr>
      </w:pPr>
      <w:r>
        <w:rPr>
          <w:rFonts w:ascii="Arial" w:hAnsi="Arial" w:cs="Arial"/>
          <w:bCs/>
          <w:sz w:val="18"/>
          <w:szCs w:val="18"/>
        </w:rPr>
        <w:t>Disposable pipette tips</w:t>
      </w:r>
    </w:p>
    <w:p w14:paraId="007052FD">
      <w:pPr>
        <w:pStyle w:val="13"/>
        <w:numPr>
          <w:ilvl w:val="0"/>
          <w:numId w:val="2"/>
        </w:numPr>
        <w:tabs>
          <w:tab w:val="left" w:pos="360"/>
        </w:tabs>
        <w:jc w:val="both"/>
        <w:rPr>
          <w:rFonts w:ascii="Arial" w:hAnsi="Arial" w:cs="Arial"/>
          <w:bCs/>
          <w:sz w:val="18"/>
          <w:szCs w:val="18"/>
        </w:rPr>
      </w:pPr>
      <w:r>
        <w:rPr>
          <w:rFonts w:ascii="Arial" w:hAnsi="Arial" w:cs="Arial"/>
          <w:bCs/>
          <w:sz w:val="18"/>
          <w:szCs w:val="18"/>
        </w:rPr>
        <w:t>Distilled water</w:t>
      </w:r>
    </w:p>
    <w:p w14:paraId="702C5BEB">
      <w:pPr>
        <w:pStyle w:val="13"/>
        <w:numPr>
          <w:ilvl w:val="0"/>
          <w:numId w:val="2"/>
        </w:numPr>
        <w:tabs>
          <w:tab w:val="left" w:pos="360"/>
        </w:tabs>
        <w:jc w:val="both"/>
        <w:rPr>
          <w:rFonts w:ascii="Arial" w:hAnsi="Arial" w:cs="Arial"/>
          <w:bCs/>
          <w:sz w:val="18"/>
          <w:szCs w:val="18"/>
        </w:rPr>
      </w:pPr>
      <w:r>
        <w:rPr>
          <w:rFonts w:ascii="Arial" w:hAnsi="Arial" w:cs="Arial"/>
          <w:bCs/>
          <w:sz w:val="18"/>
          <w:szCs w:val="18"/>
        </w:rPr>
        <w:t>Disposable Gloves</w:t>
      </w:r>
    </w:p>
    <w:p w14:paraId="70CF466C">
      <w:pPr>
        <w:pStyle w:val="13"/>
        <w:numPr>
          <w:ilvl w:val="0"/>
          <w:numId w:val="2"/>
        </w:numPr>
        <w:tabs>
          <w:tab w:val="left" w:pos="360"/>
        </w:tabs>
        <w:jc w:val="both"/>
        <w:rPr>
          <w:rFonts w:ascii="Arial" w:hAnsi="Arial" w:cs="Arial"/>
          <w:bCs/>
          <w:sz w:val="18"/>
          <w:szCs w:val="18"/>
        </w:rPr>
      </w:pPr>
      <w:r>
        <w:rPr>
          <w:rFonts w:ascii="Arial" w:hAnsi="Arial" w:cs="Arial"/>
          <w:bCs/>
          <w:sz w:val="18"/>
          <w:szCs w:val="18"/>
        </w:rPr>
        <w:t>ELISA reader</w:t>
      </w:r>
    </w:p>
    <w:p w14:paraId="5ACD92F2">
      <w:pPr>
        <w:pStyle w:val="13"/>
        <w:numPr>
          <w:ilvl w:val="0"/>
          <w:numId w:val="2"/>
        </w:numPr>
        <w:tabs>
          <w:tab w:val="left" w:pos="360"/>
        </w:tabs>
        <w:jc w:val="both"/>
        <w:rPr>
          <w:rFonts w:ascii="Arial" w:hAnsi="Arial" w:cs="Arial"/>
          <w:bCs/>
          <w:sz w:val="18"/>
          <w:szCs w:val="18"/>
        </w:rPr>
      </w:pPr>
      <w:r>
        <w:rPr>
          <w:rFonts w:ascii="Arial" w:hAnsi="Arial" w:cs="Arial"/>
          <w:bCs/>
          <w:sz w:val="18"/>
          <w:szCs w:val="18"/>
        </w:rPr>
        <w:t>ELISA washer</w:t>
      </w:r>
    </w:p>
    <w:p w14:paraId="1B8B358B">
      <w:pPr>
        <w:pStyle w:val="13"/>
        <w:numPr>
          <w:ilvl w:val="0"/>
          <w:numId w:val="2"/>
        </w:numPr>
        <w:tabs>
          <w:tab w:val="left" w:pos="360"/>
        </w:tabs>
        <w:jc w:val="both"/>
        <w:rPr>
          <w:rFonts w:ascii="Arial" w:hAnsi="Arial" w:cs="Arial"/>
          <w:bCs/>
          <w:sz w:val="18"/>
          <w:szCs w:val="18"/>
        </w:rPr>
      </w:pPr>
      <w:r>
        <w:rPr>
          <w:rFonts w:ascii="Arial" w:hAnsi="Arial" w:cs="Arial"/>
          <w:bCs/>
          <w:sz w:val="18"/>
          <w:szCs w:val="18"/>
        </w:rPr>
        <w:t>Avidity Buffer</w:t>
      </w:r>
    </w:p>
    <w:p w14:paraId="4691D0FD">
      <w:pPr>
        <w:tabs>
          <w:tab w:val="left" w:pos="360"/>
        </w:tabs>
        <w:jc w:val="both"/>
        <w:rPr>
          <w:rFonts w:ascii="Arial" w:hAnsi="Arial" w:cs="Arial"/>
          <w:bCs/>
          <w:sz w:val="18"/>
          <w:szCs w:val="18"/>
        </w:rPr>
      </w:pPr>
    </w:p>
    <w:p w14:paraId="630B5C4A">
      <w:pPr>
        <w:tabs>
          <w:tab w:val="left" w:pos="360"/>
        </w:tabs>
        <w:jc w:val="both"/>
        <w:rPr>
          <w:rFonts w:ascii="Arial" w:hAnsi="Arial" w:cs="Arial"/>
          <w:bCs/>
          <w:sz w:val="18"/>
          <w:szCs w:val="18"/>
        </w:rPr>
      </w:pPr>
      <w:r>
        <w:rPr>
          <w:rFonts w:ascii="Arial" w:hAnsi="Arial" w:cs="Arial"/>
          <w:bCs/>
          <w:sz w:val="18"/>
          <w:szCs w:val="18"/>
        </w:rPr>
        <w:t>STORAGE AND STABILITY</w:t>
      </w:r>
    </w:p>
    <w:p w14:paraId="45E06FAE">
      <w:pPr>
        <w:pStyle w:val="13"/>
        <w:numPr>
          <w:ilvl w:val="0"/>
          <w:numId w:val="3"/>
        </w:numPr>
        <w:tabs>
          <w:tab w:val="left" w:pos="360"/>
        </w:tabs>
        <w:jc w:val="both"/>
        <w:rPr>
          <w:rFonts w:ascii="Arial" w:hAnsi="Arial" w:cs="Arial"/>
          <w:bCs/>
          <w:sz w:val="18"/>
          <w:szCs w:val="18"/>
        </w:rPr>
      </w:pPr>
      <w:r>
        <w:rPr>
          <w:rFonts w:ascii="Arial" w:hAnsi="Arial" w:cs="Arial"/>
          <w:bCs/>
          <w:sz w:val="18"/>
          <w:szCs w:val="18"/>
        </w:rPr>
        <w:t>Rubella IgG kit is stable at 2-8°C up to expiry date printed on the label.</w:t>
      </w:r>
    </w:p>
    <w:p w14:paraId="4E293629">
      <w:pPr>
        <w:pStyle w:val="13"/>
        <w:numPr>
          <w:ilvl w:val="0"/>
          <w:numId w:val="3"/>
        </w:numPr>
        <w:tabs>
          <w:tab w:val="left" w:pos="360"/>
        </w:tabs>
        <w:jc w:val="both"/>
        <w:rPr>
          <w:rFonts w:ascii="Arial" w:hAnsi="Arial" w:cs="Arial"/>
          <w:bCs/>
          <w:sz w:val="18"/>
          <w:szCs w:val="18"/>
        </w:rPr>
      </w:pPr>
      <w:r>
        <w:rPr>
          <w:rFonts w:ascii="Arial" w:hAnsi="Arial" w:cs="Arial"/>
          <w:bCs/>
          <w:sz w:val="18"/>
          <w:szCs w:val="18"/>
        </w:rPr>
        <w:t>Coated Microwells should be used within one month upon opening the pouch provided that once opened, the pouch must be resealed to protect from moisture. If the colour of the desiccant has changed from blue to pink at the time of opening the pouch, another coated Microwells pouch should be used.</w:t>
      </w:r>
    </w:p>
    <w:p w14:paraId="1E0F9578">
      <w:pPr>
        <w:pStyle w:val="13"/>
        <w:numPr>
          <w:ilvl w:val="0"/>
          <w:numId w:val="3"/>
        </w:numPr>
        <w:tabs>
          <w:tab w:val="left" w:pos="360"/>
        </w:tabs>
        <w:jc w:val="both"/>
        <w:rPr>
          <w:rFonts w:ascii="Arial" w:hAnsi="Arial" w:cs="Arial"/>
          <w:bCs/>
          <w:sz w:val="18"/>
          <w:szCs w:val="18"/>
        </w:rPr>
      </w:pPr>
      <w:r>
        <w:rPr>
          <w:rFonts w:ascii="Arial" w:hAnsi="Arial" w:cs="Arial"/>
          <w:bCs/>
          <w:sz w:val="18"/>
          <w:szCs w:val="18"/>
        </w:rPr>
        <w:t>Diluted Wash Buffer is stable for up to one week when stored at 2-8°C.</w:t>
      </w:r>
    </w:p>
    <w:p w14:paraId="56E5D683">
      <w:pPr>
        <w:tabs>
          <w:tab w:val="left" w:pos="360"/>
        </w:tabs>
        <w:jc w:val="both"/>
        <w:rPr>
          <w:rFonts w:ascii="Arial" w:hAnsi="Arial" w:cs="Arial"/>
          <w:bCs/>
          <w:sz w:val="18"/>
          <w:szCs w:val="18"/>
        </w:rPr>
      </w:pPr>
    </w:p>
    <w:p w14:paraId="4A634917">
      <w:pPr>
        <w:tabs>
          <w:tab w:val="left" w:pos="360"/>
        </w:tabs>
        <w:jc w:val="both"/>
        <w:rPr>
          <w:rFonts w:ascii="Arial" w:hAnsi="Arial" w:cs="Arial"/>
          <w:bCs/>
          <w:sz w:val="18"/>
          <w:szCs w:val="18"/>
        </w:rPr>
      </w:pPr>
      <w:r>
        <w:rPr>
          <w:rFonts w:ascii="Arial" w:hAnsi="Arial" w:cs="Arial"/>
          <w:bCs/>
          <w:sz w:val="18"/>
          <w:szCs w:val="18"/>
        </w:rPr>
        <w:t>SPECIMEN COLLECTION &amp; PREPARATION</w:t>
      </w:r>
    </w:p>
    <w:p w14:paraId="5DF7C79A">
      <w:pPr>
        <w:pStyle w:val="13"/>
        <w:numPr>
          <w:ilvl w:val="0"/>
          <w:numId w:val="4"/>
        </w:numPr>
        <w:tabs>
          <w:tab w:val="left" w:pos="360"/>
        </w:tabs>
        <w:jc w:val="both"/>
        <w:rPr>
          <w:rFonts w:ascii="Arial" w:hAnsi="Arial" w:cs="Arial"/>
          <w:bCs/>
          <w:sz w:val="18"/>
          <w:szCs w:val="18"/>
        </w:rPr>
      </w:pPr>
      <w:r>
        <w:rPr>
          <w:rFonts w:ascii="Arial" w:hAnsi="Arial" w:cs="Arial"/>
          <w:bCs/>
          <w:sz w:val="18"/>
          <w:szCs w:val="18"/>
        </w:rPr>
        <w:t>Collect Blood specimen by venipuncture according to standard procedure.</w:t>
      </w:r>
    </w:p>
    <w:p w14:paraId="05B14D65">
      <w:pPr>
        <w:pStyle w:val="13"/>
        <w:numPr>
          <w:ilvl w:val="0"/>
          <w:numId w:val="4"/>
        </w:numPr>
        <w:tabs>
          <w:tab w:val="left" w:pos="360"/>
        </w:tabs>
        <w:jc w:val="both"/>
        <w:rPr>
          <w:rFonts w:ascii="Arial" w:hAnsi="Arial" w:cs="Arial"/>
          <w:bCs/>
          <w:sz w:val="18"/>
          <w:szCs w:val="18"/>
        </w:rPr>
      </w:pPr>
      <w:r>
        <w:rPr>
          <w:rFonts w:ascii="Arial" w:hAnsi="Arial" w:cs="Arial"/>
          <w:bCs/>
          <w:sz w:val="18"/>
          <w:szCs w:val="18"/>
        </w:rPr>
        <w:t>Only serum should be used.</w:t>
      </w:r>
    </w:p>
    <w:p w14:paraId="7DF2C520">
      <w:pPr>
        <w:pStyle w:val="13"/>
        <w:numPr>
          <w:ilvl w:val="0"/>
          <w:numId w:val="4"/>
        </w:numPr>
        <w:tabs>
          <w:tab w:val="left" w:pos="360"/>
        </w:tabs>
        <w:jc w:val="both"/>
        <w:rPr>
          <w:rFonts w:ascii="Arial" w:hAnsi="Arial" w:cs="Arial"/>
          <w:bCs/>
          <w:sz w:val="18"/>
          <w:szCs w:val="18"/>
        </w:rPr>
      </w:pPr>
      <w:r>
        <w:rPr>
          <w:rFonts w:ascii="Arial" w:hAnsi="Arial" w:cs="Arial"/>
          <w:bCs/>
          <w:sz w:val="18"/>
          <w:szCs w:val="18"/>
        </w:rPr>
        <w:t xml:space="preserve">Avoid grossly hemolytic, lipemic or turbid samples. </w:t>
      </w:r>
    </w:p>
    <w:p w14:paraId="6581479F">
      <w:pPr>
        <w:pStyle w:val="13"/>
        <w:numPr>
          <w:ilvl w:val="0"/>
          <w:numId w:val="4"/>
        </w:numPr>
        <w:tabs>
          <w:tab w:val="left" w:pos="360"/>
        </w:tabs>
        <w:jc w:val="both"/>
        <w:rPr>
          <w:rFonts w:ascii="Arial" w:hAnsi="Arial" w:cs="Arial"/>
          <w:bCs/>
          <w:sz w:val="18"/>
          <w:szCs w:val="18"/>
        </w:rPr>
      </w:pPr>
      <w:r>
        <w:rPr>
          <w:rFonts w:ascii="Arial" w:hAnsi="Arial" w:cs="Arial"/>
          <w:bCs/>
          <w:sz w:val="18"/>
          <w:szCs w:val="18"/>
        </w:rPr>
        <w:t xml:space="preserve">Preferably use fresh samples. However specimens can be stored up to 48 hours at 2-8°C, for short duration. </w:t>
      </w:r>
    </w:p>
    <w:p w14:paraId="2BA5874A">
      <w:pPr>
        <w:pStyle w:val="13"/>
        <w:numPr>
          <w:ilvl w:val="0"/>
          <w:numId w:val="4"/>
        </w:numPr>
        <w:tabs>
          <w:tab w:val="left" w:pos="360"/>
        </w:tabs>
        <w:jc w:val="both"/>
        <w:rPr>
          <w:rFonts w:ascii="Arial" w:hAnsi="Arial" w:cs="Arial"/>
          <w:bCs/>
          <w:sz w:val="18"/>
          <w:szCs w:val="18"/>
        </w:rPr>
      </w:pPr>
      <w:r>
        <w:rPr>
          <w:rFonts w:ascii="Arial" w:hAnsi="Arial" w:cs="Arial"/>
          <w:bCs/>
          <w:sz w:val="18"/>
          <w:szCs w:val="18"/>
        </w:rPr>
        <w:t>For longer storage, specimens can be frozen at -20°C. Thawed samples must be mixed prior to testing.</w:t>
      </w:r>
    </w:p>
    <w:p w14:paraId="0843E446">
      <w:pPr>
        <w:pStyle w:val="13"/>
        <w:numPr>
          <w:ilvl w:val="0"/>
          <w:numId w:val="4"/>
        </w:numPr>
        <w:tabs>
          <w:tab w:val="left" w:pos="360"/>
        </w:tabs>
        <w:jc w:val="both"/>
        <w:rPr>
          <w:rFonts w:ascii="Arial" w:hAnsi="Arial" w:cs="Arial"/>
          <w:bCs/>
          <w:sz w:val="18"/>
          <w:szCs w:val="18"/>
        </w:rPr>
      </w:pPr>
      <w:r>
        <w:rPr>
          <w:rFonts w:ascii="Arial" w:hAnsi="Arial" w:cs="Arial"/>
          <w:bCs/>
          <w:sz w:val="18"/>
          <w:szCs w:val="18"/>
        </w:rPr>
        <w:t>Do not heat inactivate before use.</w:t>
      </w:r>
    </w:p>
    <w:p w14:paraId="2F99025C">
      <w:pPr>
        <w:pStyle w:val="13"/>
        <w:numPr>
          <w:ilvl w:val="0"/>
          <w:numId w:val="4"/>
        </w:numPr>
        <w:tabs>
          <w:tab w:val="left" w:pos="360"/>
        </w:tabs>
        <w:jc w:val="both"/>
        <w:rPr>
          <w:rFonts w:ascii="Arial" w:hAnsi="Arial" w:cs="Arial"/>
          <w:bCs/>
          <w:sz w:val="18"/>
          <w:szCs w:val="18"/>
        </w:rPr>
      </w:pPr>
      <w:r>
        <w:rPr>
          <w:rFonts w:ascii="Arial" w:hAnsi="Arial" w:cs="Arial"/>
          <w:bCs/>
          <w:sz w:val="18"/>
          <w:szCs w:val="18"/>
        </w:rPr>
        <w:t>Specimen containing precipitate or particulate matter should be clarified by centrifugation prior to use.</w:t>
      </w:r>
    </w:p>
    <w:p w14:paraId="1BFC4E5A">
      <w:pPr>
        <w:pStyle w:val="13"/>
        <w:numPr>
          <w:ilvl w:val="0"/>
          <w:numId w:val="4"/>
        </w:numPr>
        <w:tabs>
          <w:tab w:val="left" w:pos="360"/>
        </w:tabs>
        <w:jc w:val="both"/>
        <w:rPr>
          <w:rFonts w:ascii="Arial" w:hAnsi="Arial" w:cs="Arial"/>
          <w:bCs/>
          <w:sz w:val="18"/>
          <w:szCs w:val="18"/>
        </w:rPr>
      </w:pPr>
      <w:r>
        <w:rPr>
          <w:rFonts w:ascii="Arial" w:hAnsi="Arial" w:cs="Arial"/>
          <w:bCs/>
          <w:sz w:val="18"/>
          <w:szCs w:val="18"/>
        </w:rPr>
        <w:t>Specimen should be free from particulate matter and microbial contamination.</w:t>
      </w:r>
    </w:p>
    <w:p w14:paraId="39569EC0">
      <w:pPr>
        <w:tabs>
          <w:tab w:val="left" w:pos="360"/>
        </w:tabs>
        <w:jc w:val="both"/>
        <w:rPr>
          <w:rFonts w:ascii="Arial" w:hAnsi="Arial" w:cs="Arial"/>
          <w:bCs/>
          <w:sz w:val="18"/>
          <w:szCs w:val="18"/>
        </w:rPr>
      </w:pPr>
    </w:p>
    <w:p w14:paraId="4B14ED3D">
      <w:pPr>
        <w:tabs>
          <w:tab w:val="left" w:pos="360"/>
        </w:tabs>
        <w:jc w:val="both"/>
        <w:rPr>
          <w:rFonts w:ascii="Arial" w:hAnsi="Arial" w:cs="Arial"/>
          <w:bCs/>
          <w:sz w:val="18"/>
          <w:szCs w:val="18"/>
        </w:rPr>
      </w:pPr>
      <w:r>
        <w:rPr>
          <w:rFonts w:ascii="Arial" w:hAnsi="Arial" w:cs="Arial"/>
          <w:bCs/>
          <w:sz w:val="18"/>
          <w:szCs w:val="18"/>
        </w:rPr>
        <w:t>PRECAUTIONS</w:t>
      </w:r>
    </w:p>
    <w:p w14:paraId="7CDE0D8E">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Bring all reagents and specimen to room temperature before use. </w:t>
      </w:r>
    </w:p>
    <w:p w14:paraId="6DBAFCF7">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pipette any material by mouth. </w:t>
      </w:r>
    </w:p>
    <w:p w14:paraId="39877DA7">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eat, drink or smoke in the area where testing is done. </w:t>
      </w:r>
    </w:p>
    <w:p w14:paraId="1DEC3521">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Use protective clothing and wear gloves when handling samples. </w:t>
      </w:r>
    </w:p>
    <w:p w14:paraId="09BEF514">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Use absorbent sheet to cover the working area. </w:t>
      </w:r>
    </w:p>
    <w:p w14:paraId="7DCCBBAE">
      <w:pPr>
        <w:pStyle w:val="13"/>
        <w:numPr>
          <w:ilvl w:val="0"/>
          <w:numId w:val="5"/>
        </w:numPr>
        <w:tabs>
          <w:tab w:val="left" w:pos="360"/>
        </w:tabs>
        <w:jc w:val="both"/>
        <w:rPr>
          <w:rFonts w:ascii="Arial" w:hAnsi="Arial" w:cs="Arial"/>
          <w:bCs/>
          <w:sz w:val="18"/>
          <w:szCs w:val="18"/>
        </w:rPr>
      </w:pPr>
      <w:r>
        <w:rPr>
          <w:rFonts w:ascii="Arial" w:hAnsi="Arial" w:cs="Arial"/>
          <w:bCs/>
          <w:sz w:val="18"/>
          <w:szCs w:val="18"/>
        </w:rPr>
        <w:t>Immediately clean up any spills with sodium hypochlorite.</w:t>
      </w:r>
    </w:p>
    <w:p w14:paraId="324903FD">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All specimens and controls should be considered potentially infectious and discarded appropriately. </w:t>
      </w:r>
    </w:p>
    <w:p w14:paraId="362ACB77">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Neutralize acid containing waste before adding hypochlorite. </w:t>
      </w:r>
    </w:p>
    <w:p w14:paraId="22CC63CE">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use kit after the expiry date. </w:t>
      </w:r>
    </w:p>
    <w:p w14:paraId="161DABEE">
      <w:pPr>
        <w:pStyle w:val="13"/>
        <w:numPr>
          <w:ilvl w:val="0"/>
          <w:numId w:val="5"/>
        </w:numPr>
        <w:tabs>
          <w:tab w:val="left" w:pos="360"/>
        </w:tabs>
        <w:jc w:val="both"/>
        <w:rPr>
          <w:rFonts w:ascii="Arial" w:hAnsi="Arial" w:cs="Arial"/>
          <w:bCs/>
          <w:sz w:val="18"/>
          <w:szCs w:val="18"/>
        </w:rPr>
      </w:pPr>
      <w:r>
        <w:rPr>
          <w:rFonts w:ascii="Arial" w:hAnsi="Arial" w:cs="Arial"/>
          <w:bCs/>
          <w:sz w:val="18"/>
          <w:szCs w:val="18"/>
        </w:rPr>
        <w:t>Do not mix components of one kit with another.</w:t>
      </w:r>
    </w:p>
    <w:p w14:paraId="0B5997FD">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Always use new tip for each specimen and reagent. </w:t>
      </w:r>
    </w:p>
    <w:p w14:paraId="0728862D">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allow liquid from one well to mix with other wells. </w:t>
      </w:r>
    </w:p>
    <w:p w14:paraId="38B027D7">
      <w:pPr>
        <w:pStyle w:val="13"/>
        <w:numPr>
          <w:ilvl w:val="0"/>
          <w:numId w:val="5"/>
        </w:numPr>
        <w:tabs>
          <w:tab w:val="left" w:pos="360"/>
        </w:tabs>
        <w:jc w:val="both"/>
        <w:rPr>
          <w:rFonts w:ascii="Arial" w:hAnsi="Arial" w:cs="Arial"/>
          <w:bCs/>
          <w:sz w:val="18"/>
          <w:szCs w:val="18"/>
        </w:rPr>
      </w:pPr>
      <w:r>
        <w:rPr>
          <w:rFonts w:ascii="Arial" w:hAnsi="Arial" w:cs="Arial"/>
          <w:bCs/>
          <w:sz w:val="18"/>
          <w:szCs w:val="18"/>
        </w:rPr>
        <w:t>Do not let the strips dry in between the steps.</w:t>
      </w:r>
    </w:p>
    <w:p w14:paraId="58F5457C">
      <w:pPr>
        <w:tabs>
          <w:tab w:val="left" w:pos="360"/>
        </w:tabs>
        <w:jc w:val="both"/>
        <w:rPr>
          <w:rFonts w:ascii="Arial" w:hAnsi="Arial" w:cs="Arial"/>
          <w:bCs/>
          <w:sz w:val="18"/>
          <w:szCs w:val="18"/>
        </w:rPr>
      </w:pPr>
    </w:p>
    <w:p w14:paraId="547792D8">
      <w:pPr>
        <w:tabs>
          <w:tab w:val="left" w:pos="360"/>
        </w:tabs>
        <w:jc w:val="both"/>
        <w:rPr>
          <w:rFonts w:ascii="Arial" w:hAnsi="Arial" w:cs="Arial"/>
          <w:bCs/>
          <w:sz w:val="18"/>
          <w:szCs w:val="18"/>
        </w:rPr>
      </w:pPr>
      <w:r>
        <w:rPr>
          <w:rFonts w:ascii="Arial" w:hAnsi="Arial" w:cs="Arial"/>
          <w:bCs/>
          <w:sz w:val="18"/>
          <w:szCs w:val="18"/>
        </w:rPr>
        <w:t>REAGENT PREPARATION</w:t>
      </w:r>
    </w:p>
    <w:p w14:paraId="0A49386C">
      <w:pPr>
        <w:pStyle w:val="13"/>
        <w:numPr>
          <w:ilvl w:val="0"/>
          <w:numId w:val="6"/>
        </w:numPr>
        <w:tabs>
          <w:tab w:val="left" w:pos="360"/>
        </w:tabs>
        <w:jc w:val="both"/>
        <w:rPr>
          <w:rFonts w:ascii="Arial" w:hAnsi="Arial" w:cs="Arial"/>
          <w:bCs/>
          <w:sz w:val="18"/>
          <w:szCs w:val="18"/>
        </w:rPr>
      </w:pPr>
      <w:r>
        <w:rPr>
          <w:rFonts w:ascii="Arial" w:hAnsi="Arial" w:cs="Arial"/>
          <w:bCs/>
          <w:sz w:val="18"/>
          <w:szCs w:val="18"/>
        </w:rPr>
        <w:t>All reagents should be brought to room temperature (18-25°C) and mixed by gently inverting or swirling prior to use. Do not induce foaming.</w:t>
      </w:r>
    </w:p>
    <w:p w14:paraId="36063371">
      <w:pPr>
        <w:pStyle w:val="13"/>
        <w:numPr>
          <w:ilvl w:val="0"/>
          <w:numId w:val="6"/>
        </w:numPr>
        <w:tabs>
          <w:tab w:val="left" w:pos="360"/>
        </w:tabs>
        <w:jc w:val="both"/>
        <w:rPr>
          <w:rFonts w:ascii="Arial" w:hAnsi="Arial" w:cs="Arial"/>
          <w:bCs/>
          <w:sz w:val="18"/>
          <w:szCs w:val="18"/>
        </w:rPr>
      </w:pPr>
      <w:r>
        <w:rPr>
          <w:rFonts w:ascii="Arial" w:hAnsi="Arial" w:cs="Arial"/>
          <w:bCs/>
          <w:sz w:val="18"/>
          <w:szCs w:val="18"/>
        </w:rPr>
        <w:t>Dilute wash buffer 20 times (for example add 5ml concentrated buffer to 95ml of distilled or deionized water).</w:t>
      </w:r>
    </w:p>
    <w:p w14:paraId="26F05656">
      <w:pPr>
        <w:tabs>
          <w:tab w:val="left" w:pos="360"/>
        </w:tabs>
        <w:jc w:val="both"/>
        <w:rPr>
          <w:rFonts w:ascii="Arial" w:hAnsi="Arial" w:cs="Arial"/>
          <w:bCs/>
          <w:sz w:val="18"/>
          <w:szCs w:val="18"/>
        </w:rPr>
      </w:pPr>
    </w:p>
    <w:p w14:paraId="6D2CE460">
      <w:pPr>
        <w:tabs>
          <w:tab w:val="left" w:pos="360"/>
        </w:tabs>
        <w:jc w:val="both"/>
        <w:rPr>
          <w:rFonts w:ascii="Arial" w:hAnsi="Arial" w:cs="Arial"/>
          <w:bCs/>
          <w:sz w:val="18"/>
          <w:szCs w:val="18"/>
        </w:rPr>
      </w:pPr>
      <w:r>
        <w:rPr>
          <w:rFonts w:ascii="Arial" w:hAnsi="Arial" w:cs="Arial"/>
          <w:bCs/>
          <w:sz w:val="18"/>
          <w:szCs w:val="18"/>
        </w:rPr>
        <w:t>TEST PROCEDURE</w:t>
      </w:r>
    </w:p>
    <w:p w14:paraId="6E422D7C">
      <w:pPr>
        <w:pStyle w:val="13"/>
        <w:numPr>
          <w:ilvl w:val="0"/>
          <w:numId w:val="7"/>
        </w:numPr>
        <w:tabs>
          <w:tab w:val="left" w:pos="360"/>
        </w:tabs>
        <w:jc w:val="both"/>
        <w:rPr>
          <w:rFonts w:ascii="Arial" w:hAnsi="Arial" w:cs="Arial"/>
          <w:bCs/>
          <w:sz w:val="18"/>
          <w:szCs w:val="18"/>
        </w:rPr>
      </w:pPr>
      <w:r>
        <w:rPr>
          <w:rFonts w:ascii="Arial" w:hAnsi="Arial" w:cs="Arial"/>
          <w:bCs/>
          <w:sz w:val="18"/>
          <w:szCs w:val="18"/>
        </w:rPr>
        <w:t>Place the desired number of coated strips into the holder.</w:t>
      </w:r>
    </w:p>
    <w:p w14:paraId="7BD7DC90">
      <w:pPr>
        <w:pStyle w:val="13"/>
        <w:numPr>
          <w:ilvl w:val="0"/>
          <w:numId w:val="7"/>
        </w:numPr>
        <w:tabs>
          <w:tab w:val="left" w:pos="360"/>
        </w:tabs>
        <w:jc w:val="both"/>
        <w:rPr>
          <w:rFonts w:ascii="Arial" w:hAnsi="Arial" w:cs="Arial"/>
          <w:bCs/>
          <w:sz w:val="18"/>
          <w:szCs w:val="18"/>
        </w:rPr>
      </w:pPr>
      <w:r>
        <w:rPr>
          <w:rFonts w:ascii="Arial" w:hAnsi="Arial" w:cs="Arial"/>
          <w:bCs/>
          <w:sz w:val="18"/>
          <w:szCs w:val="18"/>
        </w:rPr>
        <w:t>Prepare 1:40 dilutions by adding 5µl of the test samples, negative control, positive control and calibrators to 200µl of sample diluent. Mix well.</w:t>
      </w:r>
    </w:p>
    <w:p w14:paraId="23357D85">
      <w:pPr>
        <w:pStyle w:val="13"/>
        <w:numPr>
          <w:ilvl w:val="0"/>
          <w:numId w:val="7"/>
        </w:numPr>
        <w:tabs>
          <w:tab w:val="left" w:pos="360"/>
        </w:tabs>
        <w:jc w:val="both"/>
        <w:rPr>
          <w:rFonts w:ascii="Arial" w:hAnsi="Arial" w:cs="Arial"/>
          <w:bCs/>
          <w:sz w:val="18"/>
          <w:szCs w:val="18"/>
        </w:rPr>
      </w:pPr>
      <w:r>
        <w:rPr>
          <w:rFonts w:ascii="Arial" w:hAnsi="Arial" w:cs="Arial"/>
          <w:bCs/>
          <w:sz w:val="18"/>
          <w:szCs w:val="18"/>
        </w:rPr>
        <w:t>Dispense 100µl of diluted serum samples, negative control, positive control and calibrator into the appropriate wells. For the reagent blank, dispense 100µl of sample diluent in A1 well position. Tap the holder to remove air bubbles from the liquid and mix well. Incubate for 45 minutes at 37°C.</w:t>
      </w:r>
    </w:p>
    <w:p w14:paraId="561D1EDF">
      <w:pPr>
        <w:pStyle w:val="13"/>
        <w:numPr>
          <w:ilvl w:val="0"/>
          <w:numId w:val="7"/>
        </w:numPr>
        <w:tabs>
          <w:tab w:val="left" w:pos="360"/>
        </w:tabs>
        <w:jc w:val="both"/>
        <w:rPr>
          <w:rFonts w:ascii="Arial" w:hAnsi="Arial" w:cs="Arial"/>
          <w:bCs/>
          <w:sz w:val="18"/>
          <w:szCs w:val="18"/>
        </w:rPr>
      </w:pPr>
      <w:r>
        <w:rPr>
          <w:rFonts w:ascii="Arial" w:hAnsi="Arial" w:cs="Arial"/>
          <w:bCs/>
          <w:sz w:val="18"/>
          <w:szCs w:val="18"/>
        </w:rPr>
        <w:t>Wash each well three times by filling approximately 350µl diluted wash buffer &amp; blot dry.</w:t>
      </w:r>
    </w:p>
    <w:p w14:paraId="36363CC2">
      <w:pPr>
        <w:pStyle w:val="13"/>
        <w:numPr>
          <w:ilvl w:val="0"/>
          <w:numId w:val="7"/>
        </w:numPr>
        <w:tabs>
          <w:tab w:val="left" w:pos="360"/>
        </w:tabs>
        <w:jc w:val="both"/>
        <w:rPr>
          <w:rFonts w:ascii="Arial" w:hAnsi="Arial" w:cs="Arial"/>
          <w:bCs/>
          <w:sz w:val="18"/>
          <w:szCs w:val="18"/>
        </w:rPr>
      </w:pPr>
      <w:r>
        <w:rPr>
          <w:rFonts w:ascii="Arial" w:hAnsi="Arial" w:cs="Arial"/>
          <w:bCs/>
          <w:sz w:val="18"/>
          <w:szCs w:val="18"/>
        </w:rPr>
        <w:t>Dispense 100µl of enzyme conjugate to each well and incubate for 45 minutes at 37°C.</w:t>
      </w:r>
    </w:p>
    <w:p w14:paraId="59C5BFF5">
      <w:pPr>
        <w:pStyle w:val="13"/>
        <w:numPr>
          <w:ilvl w:val="0"/>
          <w:numId w:val="7"/>
        </w:numPr>
        <w:tabs>
          <w:tab w:val="left" w:pos="360"/>
        </w:tabs>
        <w:jc w:val="both"/>
        <w:rPr>
          <w:rFonts w:ascii="Arial" w:hAnsi="Arial" w:cs="Arial"/>
          <w:bCs/>
          <w:sz w:val="18"/>
          <w:szCs w:val="18"/>
        </w:rPr>
      </w:pPr>
      <w:r>
        <w:rPr>
          <w:rFonts w:ascii="Arial" w:hAnsi="Arial" w:cs="Arial"/>
          <w:bCs/>
          <w:sz w:val="18"/>
          <w:szCs w:val="18"/>
        </w:rPr>
        <w:t>Wash each well three times by filling approximately 350µl diluted wash buffer &amp; blot dry.</w:t>
      </w:r>
    </w:p>
    <w:p w14:paraId="1261FFE9">
      <w:pPr>
        <w:pStyle w:val="13"/>
        <w:numPr>
          <w:ilvl w:val="0"/>
          <w:numId w:val="7"/>
        </w:numPr>
        <w:tabs>
          <w:tab w:val="left" w:pos="360"/>
        </w:tabs>
        <w:jc w:val="both"/>
        <w:rPr>
          <w:rFonts w:ascii="Arial" w:hAnsi="Arial" w:cs="Arial"/>
          <w:bCs/>
          <w:sz w:val="18"/>
          <w:szCs w:val="18"/>
        </w:rPr>
      </w:pPr>
      <w:r>
        <w:rPr>
          <w:rFonts w:ascii="Arial" w:hAnsi="Arial" w:cs="Arial"/>
          <w:bCs/>
          <w:sz w:val="18"/>
          <w:szCs w:val="18"/>
        </w:rPr>
        <w:t>Dispense 100µl of TMB Substrate to each well and incubate for 20 minutes at room temperature, away from direct light.</w:t>
      </w:r>
    </w:p>
    <w:p w14:paraId="54A34251">
      <w:pPr>
        <w:pStyle w:val="13"/>
        <w:numPr>
          <w:ilvl w:val="0"/>
          <w:numId w:val="7"/>
        </w:numPr>
        <w:tabs>
          <w:tab w:val="left" w:pos="360"/>
        </w:tabs>
        <w:jc w:val="both"/>
        <w:rPr>
          <w:rFonts w:ascii="Arial" w:hAnsi="Arial" w:cs="Arial"/>
          <w:bCs/>
          <w:sz w:val="18"/>
          <w:szCs w:val="18"/>
        </w:rPr>
      </w:pPr>
      <w:r>
        <w:rPr>
          <w:rFonts w:ascii="Arial" w:hAnsi="Arial" w:cs="Arial"/>
          <w:bCs/>
          <w:sz w:val="18"/>
          <w:szCs w:val="18"/>
        </w:rPr>
        <w:t>Add 100µl of Stop Solution to stop the reaction.</w:t>
      </w:r>
    </w:p>
    <w:p w14:paraId="1F57D220">
      <w:pPr>
        <w:pStyle w:val="13"/>
        <w:numPr>
          <w:ilvl w:val="0"/>
          <w:numId w:val="7"/>
        </w:numPr>
        <w:tabs>
          <w:tab w:val="left" w:pos="360"/>
        </w:tabs>
        <w:jc w:val="both"/>
        <w:rPr>
          <w:rFonts w:ascii="Arial" w:hAnsi="Arial" w:cs="Arial"/>
          <w:bCs/>
          <w:sz w:val="18"/>
          <w:szCs w:val="18"/>
        </w:rPr>
      </w:pPr>
      <w:r>
        <w:rPr>
          <w:rFonts w:ascii="Arial" w:hAnsi="Arial" w:cs="Arial"/>
          <w:bCs/>
          <w:sz w:val="18"/>
          <w:szCs w:val="18"/>
        </w:rPr>
        <w:t>Read O.D. at 450 - 630 nm with an ELISA reader.</w:t>
      </w:r>
    </w:p>
    <w:p w14:paraId="5D8FBC73">
      <w:pPr>
        <w:tabs>
          <w:tab w:val="left" w:pos="360"/>
        </w:tabs>
        <w:jc w:val="both"/>
        <w:rPr>
          <w:rFonts w:ascii="Arial" w:hAnsi="Arial" w:cs="Arial"/>
          <w:bCs/>
          <w:sz w:val="18"/>
          <w:szCs w:val="18"/>
        </w:rPr>
      </w:pPr>
    </w:p>
    <w:p w14:paraId="44C83135">
      <w:pPr>
        <w:tabs>
          <w:tab w:val="left" w:pos="360"/>
        </w:tabs>
        <w:jc w:val="both"/>
        <w:rPr>
          <w:rFonts w:ascii="Arial" w:hAnsi="Arial" w:cs="Arial"/>
          <w:bCs/>
          <w:sz w:val="18"/>
          <w:szCs w:val="18"/>
        </w:rPr>
      </w:pPr>
    </w:p>
    <w:tbl>
      <w:tblPr>
        <w:tblStyle w:val="5"/>
        <w:tblW w:w="3546"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46"/>
      </w:tblGrid>
      <w:tr w14:paraId="41DF9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546" w:type="dxa"/>
            <w:shd w:val="clear" w:color="auto" w:fill="auto"/>
          </w:tcPr>
          <w:p w14:paraId="30E7A632">
            <w:pPr>
              <w:tabs>
                <w:tab w:val="left" w:pos="360"/>
              </w:tabs>
              <w:jc w:val="both"/>
              <w:rPr>
                <w:rFonts w:ascii="Arial" w:hAnsi="Arial" w:cs="Arial"/>
                <w:bCs/>
                <w:sz w:val="18"/>
                <w:szCs w:val="18"/>
              </w:rPr>
            </w:pPr>
            <w:r>
              <w:rPr>
                <w:rFonts w:ascii="Arial" w:hAnsi="Arial" w:cs="Arial"/>
                <w:bCs/>
                <w:sz w:val="18"/>
                <w:szCs w:val="18"/>
              </w:rPr>
              <w:t>Add 100μl of sample diluent in A1 Microwell as blank</w:t>
            </w:r>
          </w:p>
        </w:tc>
      </w:tr>
    </w:tbl>
    <w:p w14:paraId="39CE1E9C">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1312" behindDoc="0" locked="0" layoutInCell="1" allowOverlap="1">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28" o:spid="_x0000_s1026" o:spt="67" type="#_x0000_t67" style="position:absolute;left:0pt;margin-left:101.25pt;margin-top:0.35pt;height:21pt;width:6pt;z-index:251661312;mso-width-relative:page;mso-height-relative:page;" fillcolor="#000000" filled="t" stroked="t" coordsize="21600,21600" o:gfxdata="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rqf0rVAAAABwEAAA8AAAAAAAAAAQAgAAAA&#10;IgAAAGRycy9kb3ducmV2LnhtbFBLAQIUABQAAAAIAIdO4kCrX72HRwIAANEEAAAOAAAAAAAAAAEA&#10;IAAAACQBAABkcnMvZTJvRG9jLnhtbFBLBQYAAAAABgAGAFkBAADdBQAAAAA=&#10;" adj="16200,5400">
                <v:fill on="t" focussize="0,0"/>
                <v:stroke color="#000000" miterlimit="8" joinstyle="miter"/>
                <v:imagedata o:title=""/>
                <o:lock v:ext="edit" aspectratio="f"/>
                <v:textbox style="layout-flow:vertical-ideographic;"/>
              </v:shape>
            </w:pict>
          </mc:Fallback>
        </mc:AlternateContent>
      </w:r>
    </w:p>
    <w:p w14:paraId="3379096F">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50F56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3604" w:type="dxa"/>
            <w:shd w:val="clear" w:color="auto" w:fill="auto"/>
          </w:tcPr>
          <w:p w14:paraId="456BBB18">
            <w:pPr>
              <w:tabs>
                <w:tab w:val="left" w:pos="360"/>
              </w:tabs>
              <w:jc w:val="both"/>
              <w:rPr>
                <w:rFonts w:hint="default" w:ascii="Arial" w:hAnsi="Arial" w:cs="Arial"/>
                <w:bCs/>
                <w:sz w:val="18"/>
                <w:szCs w:val="18"/>
                <w:lang w:val="en-GB"/>
              </w:rPr>
            </w:pPr>
            <w:r>
              <w:rPr>
                <w:rFonts w:ascii="Arial" w:hAnsi="Arial" w:cs="Arial"/>
                <w:bCs/>
                <w:sz w:val="18"/>
                <w:szCs w:val="18"/>
              </w:rPr>
              <w:t>Add 100μl diluted NC, PC, Calibrators and Samples into the respective Microwell</w:t>
            </w:r>
            <w:r>
              <w:rPr>
                <w:rFonts w:hint="default" w:ascii="Arial" w:hAnsi="Arial" w:cs="Arial"/>
                <w:bCs/>
                <w:sz w:val="18"/>
                <w:szCs w:val="18"/>
                <w:lang w:val="en-GB"/>
              </w:rPr>
              <w:t>s</w:t>
            </w:r>
          </w:p>
        </w:tc>
      </w:tr>
    </w:tbl>
    <w:p w14:paraId="7119B7B4">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2336" behindDoc="0" locked="0" layoutInCell="1" allowOverlap="1">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29" o:spid="_x0000_s1026" o:spt="67" type="#_x0000_t67" style="position:absolute;left:0pt;margin-left:100.5pt;margin-top:-0.2pt;height:21pt;width:6pt;z-index:251662336;mso-width-relative:page;mso-height-relative:page;" fillcolor="#000000" filled="t" stroked="t" coordsize="21600,21600" o:gfxdata="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dUtjt1wAAAAgBAAAPAAAAAAAAAAEA&#10;IAAAACIAAABkcnMvZG93bnJldi54bWxQSwECFAAUAAAACACHTuJA/W1xL0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02A97100">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502C5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3604" w:type="dxa"/>
            <w:shd w:val="clear" w:color="auto" w:fill="auto"/>
          </w:tcPr>
          <w:p w14:paraId="3960C32D">
            <w:pPr>
              <w:tabs>
                <w:tab w:val="left" w:pos="360"/>
              </w:tabs>
              <w:jc w:val="both"/>
              <w:rPr>
                <w:rFonts w:ascii="Arial" w:hAnsi="Arial" w:cs="Arial"/>
                <w:bCs/>
                <w:i/>
                <w:iCs/>
                <w:sz w:val="18"/>
                <w:szCs w:val="18"/>
              </w:rPr>
            </w:pPr>
            <w:r>
              <w:rPr>
                <w:rFonts w:ascii="Arial" w:hAnsi="Arial" w:cs="Arial"/>
                <w:bCs/>
                <w:sz w:val="18"/>
                <w:szCs w:val="18"/>
              </w:rPr>
              <w:t>Apply plate sealer and incubate for 45 minutes at 37°C</w:t>
            </w:r>
          </w:p>
        </w:tc>
      </w:tr>
    </w:tbl>
    <w:p w14:paraId="4FD2B9BB">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4384" behindDoc="0" locked="0" layoutInCell="1" allowOverlap="1">
                <wp:simplePos x="0" y="0"/>
                <wp:positionH relativeFrom="column">
                  <wp:posOffset>1295400</wp:posOffset>
                </wp:positionH>
                <wp:positionV relativeFrom="paragraph">
                  <wp:posOffset>10160</wp:posOffset>
                </wp:positionV>
                <wp:extent cx="76200" cy="266700"/>
                <wp:effectExtent l="19050" t="0" r="38100" b="38100"/>
                <wp:wrapNone/>
                <wp:docPr id="1504921668" name="AutoShape 17"/>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17" o:spid="_x0000_s1026" o:spt="67" type="#_x0000_t67" style="position:absolute;left:0pt;margin-left:102pt;margin-top:0.8pt;height:21pt;width:6pt;z-index:251664384;mso-width-relative:page;mso-height-relative:page;" fillcolor="#000000" filled="t" stroked="t" coordsize="21600,21600" o:gfxdata="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hfylg9YAAAAIAQAADwAAAAAAAAABACAA&#10;AAAiAAAAZHJzL2Rvd25yZXYueG1sUEsBAhQAFAAAAAgAh07iQK+/WthIAgAA0gQAAA4AAAAAAAAA&#10;AQAgAAAAJQ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622C0D94">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79195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604" w:type="dxa"/>
            <w:shd w:val="clear" w:color="auto" w:fill="auto"/>
          </w:tcPr>
          <w:p w14:paraId="4F11CE04">
            <w:pPr>
              <w:tabs>
                <w:tab w:val="left" w:pos="360"/>
              </w:tabs>
              <w:jc w:val="both"/>
              <w:rPr>
                <w:rFonts w:ascii="Arial" w:hAnsi="Arial" w:cs="Arial"/>
                <w:bCs/>
                <w:sz w:val="18"/>
                <w:szCs w:val="18"/>
              </w:rPr>
            </w:pPr>
            <w:r>
              <w:rPr>
                <w:rFonts w:ascii="Arial" w:hAnsi="Arial" w:cs="Arial"/>
                <w:bCs/>
                <w:sz w:val="18"/>
                <w:szCs w:val="18"/>
              </w:rPr>
              <w:t>Wash micro-wells 3 times with diluted wash buffer</w:t>
            </w:r>
          </w:p>
        </w:tc>
      </w:tr>
    </w:tbl>
    <w:p w14:paraId="5BD84000">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0288" behindDoc="0" locked="0" layoutInCell="1" allowOverlap="1">
                <wp:simplePos x="0" y="0"/>
                <wp:positionH relativeFrom="column">
                  <wp:posOffset>1285875</wp:posOffset>
                </wp:positionH>
                <wp:positionV relativeFrom="paragraph">
                  <wp:posOffset>-1270</wp:posOffset>
                </wp:positionV>
                <wp:extent cx="76200" cy="266700"/>
                <wp:effectExtent l="0" t="0" r="0" b="0"/>
                <wp:wrapNone/>
                <wp:docPr id="1020102689" name="AutoShape 17"/>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17" o:spid="_x0000_s1026" o:spt="67" type="#_x0000_t67" style="position:absolute;left:0pt;margin-left:101.25pt;margin-top:-0.1pt;height:21pt;width:6pt;z-index:251660288;mso-width-relative:page;mso-height-relative:page;" fillcolor="#000000" filled="t" stroked="t" coordsize="21600,21600" o:gfxdata="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QU/RF1wAAAAgBAAAPAAAAAAAAAAEAIAAA&#10;ACIAAABkcnMvZG93bnJldi54bWxQSwECFAAUAAAACACHTuJALMoxjUYCAADSBAAADgAAAAAAAAAB&#10;ACAAAAAm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121C2AED">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381B5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4" w:type="dxa"/>
            <w:shd w:val="clear" w:color="auto" w:fill="auto"/>
          </w:tcPr>
          <w:p w14:paraId="0B5ADEA0">
            <w:pPr>
              <w:tabs>
                <w:tab w:val="left" w:pos="360"/>
              </w:tabs>
              <w:jc w:val="both"/>
              <w:rPr>
                <w:rFonts w:ascii="Arial" w:hAnsi="Arial" w:cs="Arial"/>
                <w:bCs/>
                <w:sz w:val="18"/>
                <w:szCs w:val="18"/>
              </w:rPr>
            </w:pPr>
            <w:r>
              <w:rPr>
                <w:rFonts w:ascii="Arial" w:hAnsi="Arial" w:cs="Arial"/>
                <w:bCs/>
                <w:sz w:val="18"/>
                <w:szCs w:val="18"/>
              </w:rPr>
              <w:t>Add 100μl Enzyme conjugate in each well</w:t>
            </w:r>
          </w:p>
        </w:tc>
      </w:tr>
    </w:tbl>
    <w:p w14:paraId="0C2683D4">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5408" behindDoc="0" locked="0" layoutInCell="1" allowOverlap="1">
                <wp:simplePos x="0" y="0"/>
                <wp:positionH relativeFrom="column">
                  <wp:posOffset>1304925</wp:posOffset>
                </wp:positionH>
                <wp:positionV relativeFrom="paragraph">
                  <wp:posOffset>13335</wp:posOffset>
                </wp:positionV>
                <wp:extent cx="76200" cy="266700"/>
                <wp:effectExtent l="19050" t="0" r="38100" b="38100"/>
                <wp:wrapNone/>
                <wp:docPr id="1837099124" name="AutoShape 17"/>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17" o:spid="_x0000_s1026" o:spt="67" type="#_x0000_t67" style="position:absolute;left:0pt;margin-left:102.75pt;margin-top:1.05pt;height:21pt;width:6pt;z-index:251665408;mso-width-relative:page;mso-height-relative:page;" fillcolor="#000000" filled="t" stroked="t" coordsize="21600,21600" o:gfxdata="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lTc4rXAAAACAEAAA8AAAAAAAAAAQAg&#10;AAAAIgAAAGRycy9kb3ducmV2LnhtbFBLAQIUABQAAAAIAIdO4kBfMnJcSAIAANI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3C9C035B">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603FB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4" w:type="dxa"/>
            <w:shd w:val="clear" w:color="auto" w:fill="auto"/>
          </w:tcPr>
          <w:p w14:paraId="48397B65">
            <w:pPr>
              <w:tabs>
                <w:tab w:val="left" w:pos="360"/>
              </w:tabs>
              <w:jc w:val="both"/>
              <w:rPr>
                <w:rFonts w:ascii="Arial" w:hAnsi="Arial" w:cs="Arial"/>
                <w:bCs/>
                <w:sz w:val="18"/>
                <w:szCs w:val="18"/>
              </w:rPr>
            </w:pPr>
            <w:r>
              <w:rPr>
                <w:rFonts w:ascii="Arial" w:hAnsi="Arial" w:cs="Arial"/>
                <w:bCs/>
                <w:sz w:val="18"/>
                <w:szCs w:val="18"/>
              </w:rPr>
              <w:t>Apply plate sealer and incubate for 45 minutes at 37°C</w:t>
            </w:r>
          </w:p>
        </w:tc>
      </w:tr>
    </w:tbl>
    <w:p w14:paraId="07E33837">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3360" behindDoc="0" locked="0" layoutInCell="1" allowOverlap="1">
                <wp:simplePos x="0" y="0"/>
                <wp:positionH relativeFrom="column">
                  <wp:posOffset>1304925</wp:posOffset>
                </wp:positionH>
                <wp:positionV relativeFrom="paragraph">
                  <wp:posOffset>3810</wp:posOffset>
                </wp:positionV>
                <wp:extent cx="76200" cy="266700"/>
                <wp:effectExtent l="0" t="0" r="0" b="0"/>
                <wp:wrapNone/>
                <wp:docPr id="1395388771" name="AutoShape 32"/>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32" o:spid="_x0000_s1026" o:spt="67" type="#_x0000_t67" style="position:absolute;left:0pt;margin-left:102.75pt;margin-top:0.3pt;height:21pt;width:6pt;z-index:251663360;mso-width-relative:page;mso-height-relative:page;" fillcolor="#000000" filled="t" stroked="t" coordsize="21600,21600" o:gfxdata="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wfzkE1QAAAAcBAAAPAAAAAAAAAAEAIAAA&#10;ACIAAABkcnMvZG93bnJldi54bWxQSwECFAAUAAAACACHTuJACiYTDUgCAADS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1A6FB501">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101AB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3" w:hRule="atLeast"/>
        </w:trPr>
        <w:tc>
          <w:tcPr>
            <w:tcW w:w="3604" w:type="dxa"/>
            <w:shd w:val="clear" w:color="auto" w:fill="auto"/>
          </w:tcPr>
          <w:p w14:paraId="174A152A">
            <w:pPr>
              <w:tabs>
                <w:tab w:val="left" w:pos="360"/>
              </w:tabs>
              <w:jc w:val="both"/>
              <w:rPr>
                <w:rFonts w:ascii="Arial" w:hAnsi="Arial" w:cs="Arial"/>
                <w:bCs/>
                <w:sz w:val="18"/>
                <w:szCs w:val="18"/>
              </w:rPr>
            </w:pPr>
            <w:r>
              <w:rPr>
                <w:rFonts w:ascii="Arial" w:hAnsi="Arial" w:cs="Arial"/>
                <w:bCs/>
                <w:sz w:val="18"/>
                <w:szCs w:val="18"/>
              </w:rPr>
              <w:t>Wash micro-wells 3 times with diluted wash buffer</w:t>
            </w:r>
          </w:p>
        </w:tc>
      </w:tr>
    </w:tbl>
    <w:p w14:paraId="56670A9E">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6432" behindDoc="0" locked="0" layoutInCell="1" allowOverlap="1">
                <wp:simplePos x="0" y="0"/>
                <wp:positionH relativeFrom="column">
                  <wp:posOffset>1314450</wp:posOffset>
                </wp:positionH>
                <wp:positionV relativeFrom="paragraph">
                  <wp:posOffset>1270</wp:posOffset>
                </wp:positionV>
                <wp:extent cx="76200" cy="266700"/>
                <wp:effectExtent l="19050" t="0" r="38100" b="38100"/>
                <wp:wrapNone/>
                <wp:docPr id="272371258" name="AutoShape 17"/>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17" o:spid="_x0000_s1026" o:spt="67" type="#_x0000_t67" style="position:absolute;left:0pt;margin-left:103.5pt;margin-top:0.1pt;height:21pt;width:6pt;z-index:251666432;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EzLQU1QAAAAcBAAAPAAAAAAAAAAEAIAAA&#10;ACIAAABkcnMvZG93bnJldi54bWxQSwECFAAUAAAACACHTuJAPZ7ih0gCAADR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4C79F1B9">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74FB5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4" w:type="dxa"/>
            <w:shd w:val="clear" w:color="auto" w:fill="auto"/>
          </w:tcPr>
          <w:p w14:paraId="4A247DCF">
            <w:pPr>
              <w:tabs>
                <w:tab w:val="left" w:pos="360"/>
              </w:tabs>
              <w:jc w:val="both"/>
              <w:rPr>
                <w:rFonts w:ascii="Arial" w:hAnsi="Arial" w:cs="Arial"/>
                <w:bCs/>
                <w:sz w:val="18"/>
                <w:szCs w:val="18"/>
              </w:rPr>
            </w:pPr>
            <w:r>
              <w:rPr>
                <w:rFonts w:ascii="Arial" w:hAnsi="Arial" w:cs="Arial"/>
                <w:bCs/>
                <w:sz w:val="18"/>
                <w:szCs w:val="18"/>
              </w:rPr>
              <w:t>Add 100μl substrate in each well</w:t>
            </w:r>
          </w:p>
        </w:tc>
      </w:tr>
    </w:tbl>
    <w:p w14:paraId="29F68DFC">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8480" behindDoc="0" locked="0" layoutInCell="1" allowOverlap="1">
                <wp:simplePos x="0" y="0"/>
                <wp:positionH relativeFrom="column">
                  <wp:posOffset>1333500</wp:posOffset>
                </wp:positionH>
                <wp:positionV relativeFrom="paragraph">
                  <wp:posOffset>10795</wp:posOffset>
                </wp:positionV>
                <wp:extent cx="76200" cy="266700"/>
                <wp:effectExtent l="19050" t="0" r="38100" b="38100"/>
                <wp:wrapNone/>
                <wp:docPr id="1256119412" name="AutoShape 17"/>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17" o:spid="_x0000_s1026" o:spt="67" type="#_x0000_t67" style="position:absolute;left:0pt;margin-left:105pt;margin-top:0.85pt;height:21pt;width:6pt;z-index:251668480;mso-width-relative:page;mso-height-relative:page;" fillcolor="#000000" filled="t" stroked="t" coordsize="21600,21600" o:gfxdata="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T+3mnWAAAACAEAAA8AAAAAAAAAAQAg&#10;AAAAIgAAAGRycy9kb3ducmV2LnhtbFBLAQIUABQAAAAIAIdO4kAgoP/2SQIAANIEAAAOAAAAAAAA&#10;AAEAIAAAACU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5B9EA8EB">
      <w:pPr>
        <w:tabs>
          <w:tab w:val="left" w:pos="360"/>
        </w:tabs>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47207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604" w:type="dxa"/>
            <w:shd w:val="clear" w:color="auto" w:fill="auto"/>
          </w:tcPr>
          <w:p w14:paraId="4F6A969A">
            <w:pPr>
              <w:tabs>
                <w:tab w:val="left" w:pos="360"/>
              </w:tabs>
              <w:jc w:val="both"/>
              <w:rPr>
                <w:rFonts w:ascii="Arial" w:hAnsi="Arial" w:cs="Arial"/>
                <w:bCs/>
                <w:sz w:val="18"/>
                <w:szCs w:val="18"/>
              </w:rPr>
            </w:pPr>
            <w:r>
              <w:rPr>
                <w:rFonts w:ascii="Arial" w:hAnsi="Arial" w:cs="Arial"/>
                <w:bCs/>
                <w:sz w:val="18"/>
                <w:szCs w:val="18"/>
              </w:rPr>
              <w:t>Apply plate sealer and incubate for 20 minutes at 18-25 C in dark</w:t>
            </w:r>
          </w:p>
        </w:tc>
      </w:tr>
    </w:tbl>
    <w:p w14:paraId="43E1D806">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7456" behindDoc="0" locked="0" layoutInCell="1" allowOverlap="1">
                <wp:simplePos x="0" y="0"/>
                <wp:positionH relativeFrom="column">
                  <wp:posOffset>1314450</wp:posOffset>
                </wp:positionH>
                <wp:positionV relativeFrom="paragraph">
                  <wp:posOffset>1270</wp:posOffset>
                </wp:positionV>
                <wp:extent cx="76200" cy="266700"/>
                <wp:effectExtent l="19050" t="0" r="38100" b="38100"/>
                <wp:wrapNone/>
                <wp:docPr id="2109035420" name="AutoShape 17"/>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17" o:spid="_x0000_s1026" o:spt="67" type="#_x0000_t67" style="position:absolute;left:0pt;margin-left:103.5pt;margin-top:0.1pt;height:21pt;width:6pt;z-index:251667456;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BMy0FNUAAAAHAQAADwAAAAAAAAABACAA&#10;AAAiAAAAZHJzL2Rvd25yZXYueG1sUEsBAhQAFAAAAAgAh07iQGDCphBJAgAA0gQAAA4AAAAAAAAA&#10;AQAgAAAAJA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4A2944AE">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2FC42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4" w:type="dxa"/>
            <w:shd w:val="clear" w:color="auto" w:fill="auto"/>
          </w:tcPr>
          <w:p w14:paraId="2C3CB3A2">
            <w:pPr>
              <w:tabs>
                <w:tab w:val="left" w:pos="360"/>
              </w:tabs>
              <w:jc w:val="both"/>
              <w:rPr>
                <w:rFonts w:ascii="Arial" w:hAnsi="Arial" w:cs="Arial"/>
                <w:bCs/>
                <w:sz w:val="18"/>
                <w:szCs w:val="18"/>
              </w:rPr>
            </w:pPr>
            <w:r>
              <w:rPr>
                <w:rFonts w:ascii="Arial" w:hAnsi="Arial" w:cs="Arial"/>
                <w:bCs/>
                <w:sz w:val="18"/>
                <w:szCs w:val="18"/>
              </w:rPr>
              <w:t>Add 100 μl stop solution in each well</w:t>
            </w:r>
          </w:p>
        </w:tc>
      </w:tr>
    </w:tbl>
    <w:p w14:paraId="0BD84E2F">
      <w:pPr>
        <w:tabs>
          <w:tab w:val="left" w:pos="360"/>
        </w:tabs>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9504" behindDoc="0" locked="0" layoutInCell="1" allowOverlap="1">
                <wp:simplePos x="0" y="0"/>
                <wp:positionH relativeFrom="column">
                  <wp:posOffset>1314450</wp:posOffset>
                </wp:positionH>
                <wp:positionV relativeFrom="paragraph">
                  <wp:posOffset>8255</wp:posOffset>
                </wp:positionV>
                <wp:extent cx="76200" cy="266700"/>
                <wp:effectExtent l="19050" t="0" r="38100" b="38100"/>
                <wp:wrapNone/>
                <wp:docPr id="210060902" name="AutoShape 17"/>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17" o:spid="_x0000_s1026" o:spt="67" type="#_x0000_t67" style="position:absolute;left:0pt;margin-left:103.5pt;margin-top:0.65pt;height:21pt;width:6pt;z-index:251669504;mso-width-relative:page;mso-height-relative:page;" fillcolor="#000000" filled="t" stroked="t" coordsize="21600,21600" o:gfxdata="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Cu0WfXAAAACAEAAA8AAAAAAAAAAQAg&#10;AAAAIgAAAGRycy9kb3ducmV2LnhtbFBLAQIUABQAAAAIAIdO4kDGevdmSAIAANE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587D758B">
      <w:pPr>
        <w:tabs>
          <w:tab w:val="left" w:pos="360"/>
        </w:tabs>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12BCA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4" w:type="dxa"/>
            <w:shd w:val="clear" w:color="auto" w:fill="auto"/>
          </w:tcPr>
          <w:p w14:paraId="2BA5CD2B">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7E16134A">
      <w:pPr>
        <w:tabs>
          <w:tab w:val="left" w:pos="360"/>
        </w:tabs>
        <w:jc w:val="both"/>
        <w:rPr>
          <w:rFonts w:ascii="Arial" w:hAnsi="Arial" w:cs="Arial"/>
          <w:bCs/>
          <w:sz w:val="18"/>
          <w:szCs w:val="18"/>
        </w:rPr>
      </w:pPr>
    </w:p>
    <w:p w14:paraId="0A0AE0B2">
      <w:pPr>
        <w:tabs>
          <w:tab w:val="left" w:pos="360"/>
        </w:tabs>
        <w:jc w:val="both"/>
        <w:rPr>
          <w:rFonts w:ascii="Arial" w:hAnsi="Arial" w:cs="Arial"/>
          <w:bCs/>
          <w:sz w:val="18"/>
          <w:szCs w:val="18"/>
        </w:rPr>
      </w:pPr>
      <w:r>
        <w:rPr>
          <w:rFonts w:ascii="Arial" w:hAnsi="Arial" w:cs="Arial"/>
          <w:bCs/>
          <w:sz w:val="18"/>
          <w:szCs w:val="18"/>
        </w:rPr>
        <w:t>RUN CRITERIA</w:t>
      </w:r>
    </w:p>
    <w:p w14:paraId="5E5ACAC7">
      <w:pPr>
        <w:tabs>
          <w:tab w:val="left" w:pos="360"/>
        </w:tabs>
        <w:jc w:val="both"/>
        <w:rPr>
          <w:rFonts w:ascii="Arial" w:hAnsi="Arial" w:cs="Arial"/>
          <w:bCs/>
          <w:sz w:val="18"/>
          <w:szCs w:val="18"/>
        </w:rPr>
      </w:pPr>
      <w:r>
        <w:rPr>
          <w:rFonts w:ascii="Arial" w:hAnsi="Arial" w:cs="Arial"/>
          <w:bCs/>
          <w:sz w:val="18"/>
          <w:szCs w:val="18"/>
        </w:rPr>
        <w:t>The test run may be considered valid provided the following criteria are met:</w:t>
      </w:r>
    </w:p>
    <w:p w14:paraId="5C222462">
      <w:pPr>
        <w:pStyle w:val="13"/>
        <w:numPr>
          <w:ilvl w:val="1"/>
          <w:numId w:val="5"/>
        </w:numPr>
        <w:tabs>
          <w:tab w:val="left" w:pos="360"/>
        </w:tabs>
        <w:ind w:left="360" w:leftChars="0" w:hanging="360" w:hangingChars="200"/>
        <w:jc w:val="both"/>
        <w:rPr>
          <w:rFonts w:ascii="Arial" w:hAnsi="Arial" w:cs="Arial"/>
          <w:bCs/>
          <w:sz w:val="18"/>
          <w:szCs w:val="18"/>
        </w:rPr>
      </w:pPr>
      <w:r>
        <w:rPr>
          <w:rFonts w:ascii="Arial" w:hAnsi="Arial" w:cs="Arial"/>
          <w:bCs/>
          <w:sz w:val="18"/>
          <w:szCs w:val="18"/>
        </w:rPr>
        <w:t>The O.D. value of the reagent blank against air from a microwell reader should be less than 0.150.</w:t>
      </w:r>
    </w:p>
    <w:p w14:paraId="24DAB99E">
      <w:pPr>
        <w:pStyle w:val="13"/>
        <w:numPr>
          <w:ilvl w:val="1"/>
          <w:numId w:val="5"/>
        </w:numPr>
        <w:tabs>
          <w:tab w:val="left" w:pos="360"/>
        </w:tabs>
        <w:ind w:left="360" w:leftChars="0" w:hanging="360" w:hangingChars="200"/>
        <w:jc w:val="both"/>
        <w:rPr>
          <w:rFonts w:ascii="Arial" w:hAnsi="Arial" w:cs="Arial"/>
          <w:bCs/>
          <w:sz w:val="18"/>
          <w:szCs w:val="18"/>
        </w:rPr>
      </w:pPr>
      <w:r>
        <w:rPr>
          <w:rFonts w:ascii="Arial" w:hAnsi="Arial" w:cs="Arial"/>
          <w:bCs/>
          <w:sz w:val="18"/>
          <w:szCs w:val="18"/>
        </w:rPr>
        <w:t>If the O.D. value of the Cut Off Calibrator is lower than 0.250, the test is not valid and must be repeated.</w:t>
      </w:r>
    </w:p>
    <w:p w14:paraId="760F9918">
      <w:pPr>
        <w:pStyle w:val="13"/>
        <w:numPr>
          <w:ilvl w:val="1"/>
          <w:numId w:val="5"/>
        </w:numPr>
        <w:tabs>
          <w:tab w:val="left" w:pos="360"/>
        </w:tabs>
        <w:ind w:left="360" w:leftChars="0" w:hanging="360" w:hangingChars="200"/>
        <w:jc w:val="both"/>
        <w:rPr>
          <w:rFonts w:ascii="Arial" w:hAnsi="Arial" w:cs="Arial"/>
          <w:bCs/>
          <w:sz w:val="18"/>
          <w:szCs w:val="18"/>
        </w:rPr>
      </w:pPr>
      <w:r>
        <w:rPr>
          <w:rFonts w:ascii="Arial" w:hAnsi="Arial" w:cs="Arial"/>
          <w:bCs/>
          <w:sz w:val="18"/>
          <w:szCs w:val="18"/>
        </w:rPr>
        <w:t>The Rubella IgG Index for Negative and Positive Control should be in the range stated on the labels.</w:t>
      </w:r>
    </w:p>
    <w:p w14:paraId="4F711E7C">
      <w:pPr>
        <w:tabs>
          <w:tab w:val="left" w:pos="360"/>
        </w:tabs>
        <w:jc w:val="both"/>
        <w:rPr>
          <w:rFonts w:ascii="Arial" w:hAnsi="Arial" w:cs="Arial"/>
          <w:bCs/>
          <w:sz w:val="18"/>
          <w:szCs w:val="18"/>
        </w:rPr>
      </w:pPr>
    </w:p>
    <w:p w14:paraId="41AB631F">
      <w:pPr>
        <w:tabs>
          <w:tab w:val="left" w:pos="360"/>
        </w:tabs>
        <w:jc w:val="both"/>
        <w:rPr>
          <w:rFonts w:ascii="Arial" w:hAnsi="Arial" w:cs="Arial"/>
          <w:bCs/>
          <w:sz w:val="18"/>
          <w:szCs w:val="18"/>
        </w:rPr>
      </w:pPr>
      <w:r>
        <w:rPr>
          <w:rFonts w:ascii="Arial" w:hAnsi="Arial" w:cs="Arial"/>
          <w:bCs/>
          <w:sz w:val="18"/>
          <w:szCs w:val="18"/>
        </w:rPr>
        <w:t>AVIDITY TESTING</w:t>
      </w:r>
    </w:p>
    <w:p w14:paraId="67068190">
      <w:pPr>
        <w:tabs>
          <w:tab w:val="left" w:pos="360"/>
        </w:tabs>
        <w:jc w:val="both"/>
        <w:rPr>
          <w:rFonts w:ascii="Arial" w:hAnsi="Arial" w:cs="Arial"/>
          <w:bCs/>
          <w:sz w:val="18"/>
          <w:szCs w:val="18"/>
        </w:rPr>
      </w:pPr>
      <w:r>
        <w:rPr>
          <w:rFonts w:ascii="Arial" w:hAnsi="Arial" w:cs="Arial"/>
          <w:bCs/>
          <w:sz w:val="18"/>
          <w:szCs w:val="18"/>
        </w:rPr>
        <w:t>Avidity is a measure of antigen to antibody binding. Avidity Test helps in discriminating primary infection from secondary infection. Sometimes it is not sufficient to test for IgM antibodies, as the presence of this class may be due to the persistence of IgM antibodies due to past infection or asymptomatic re-infection without risk for the fetus. For this reason it is useful to assay the avidity of IgG antibodies. The presence of low avidity is therefore an indication of recent or current infection. The avidity of IgG antibodies can be assayed with this same kit using an additional Buffer called Avidity Buffer which is available on request.</w:t>
      </w:r>
    </w:p>
    <w:p w14:paraId="20AE3B9E">
      <w:pPr>
        <w:tabs>
          <w:tab w:val="left" w:pos="360"/>
        </w:tabs>
        <w:jc w:val="both"/>
        <w:rPr>
          <w:rFonts w:ascii="Arial" w:hAnsi="Arial" w:cs="Arial"/>
          <w:bCs/>
          <w:sz w:val="18"/>
          <w:szCs w:val="18"/>
        </w:rPr>
      </w:pPr>
      <w:r>
        <w:rPr>
          <w:rFonts w:ascii="Arial" w:hAnsi="Arial" w:cs="Arial"/>
          <w:bCs/>
          <w:sz w:val="18"/>
          <w:szCs w:val="18"/>
        </w:rPr>
        <w:t>For Procedure and Interpretation of results, kindly refer Pack Insert of Avidity Buffer.</w:t>
      </w:r>
    </w:p>
    <w:p w14:paraId="5B643F37">
      <w:pPr>
        <w:tabs>
          <w:tab w:val="left" w:pos="360"/>
        </w:tabs>
        <w:jc w:val="both"/>
        <w:rPr>
          <w:rFonts w:ascii="Arial" w:hAnsi="Arial" w:cs="Arial"/>
          <w:bCs/>
          <w:sz w:val="18"/>
          <w:szCs w:val="18"/>
        </w:rPr>
      </w:pPr>
    </w:p>
    <w:p w14:paraId="1256E65B">
      <w:pPr>
        <w:tabs>
          <w:tab w:val="left" w:pos="360"/>
        </w:tabs>
        <w:jc w:val="both"/>
        <w:rPr>
          <w:rFonts w:ascii="Arial" w:hAnsi="Arial" w:cs="Arial"/>
          <w:bCs/>
          <w:sz w:val="18"/>
          <w:szCs w:val="18"/>
        </w:rPr>
      </w:pPr>
      <w:r>
        <w:rPr>
          <w:rFonts w:ascii="Arial" w:hAnsi="Arial" w:cs="Arial"/>
          <w:bCs/>
          <w:sz w:val="18"/>
          <w:szCs w:val="18"/>
        </w:rPr>
        <w:t>CALCULATION OF RESULTS</w:t>
      </w:r>
    </w:p>
    <w:p w14:paraId="2ACFDFF7">
      <w:pPr>
        <w:tabs>
          <w:tab w:val="left" w:pos="360"/>
        </w:tabs>
        <w:jc w:val="both"/>
        <w:rPr>
          <w:rFonts w:ascii="Arial" w:hAnsi="Arial" w:cs="Arial"/>
          <w:bCs/>
          <w:sz w:val="18"/>
          <w:szCs w:val="18"/>
        </w:rPr>
      </w:pPr>
      <w:r>
        <w:rPr>
          <w:rFonts w:ascii="Arial" w:hAnsi="Arial" w:cs="Arial"/>
          <w:bCs/>
          <w:sz w:val="18"/>
          <w:szCs w:val="18"/>
        </w:rPr>
        <w:t>Qualitative Determination of Rubella IgG</w:t>
      </w:r>
    </w:p>
    <w:p w14:paraId="03CFD556">
      <w:pPr>
        <w:tabs>
          <w:tab w:val="left" w:pos="360"/>
        </w:tabs>
        <w:ind w:left="36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r>
      <w:r>
        <w:rPr>
          <w:rFonts w:ascii="Arial" w:hAnsi="Arial" w:cs="Arial"/>
          <w:bCs/>
          <w:sz w:val="18"/>
          <w:szCs w:val="18"/>
        </w:rPr>
        <w:t>Rubella IgG index value can be calculated by dividing the mean absorbance of NC/PC/Sample by mean absorbance of Cut-Off calibrator (15 IU/ml)</w:t>
      </w:r>
    </w:p>
    <w:p w14:paraId="5737E61C">
      <w:pPr>
        <w:tabs>
          <w:tab w:val="left" w:pos="360"/>
        </w:tabs>
        <w:jc w:val="both"/>
        <w:rPr>
          <w:rFonts w:ascii="Arial" w:hAnsi="Arial" w:cs="Arial"/>
          <w:bCs/>
          <w:sz w:val="18"/>
          <w:szCs w:val="18"/>
        </w:rPr>
      </w:pPr>
    </w:p>
    <w:p w14:paraId="16839DE9">
      <w:pPr>
        <w:tabs>
          <w:tab w:val="left" w:pos="360"/>
        </w:tabs>
        <w:jc w:val="both"/>
        <w:rPr>
          <w:rFonts w:ascii="Arial" w:hAnsi="Arial" w:cs="Arial"/>
          <w:bCs/>
          <w:sz w:val="18"/>
          <w:szCs w:val="18"/>
        </w:rPr>
      </w:pPr>
      <w:r>
        <w:rPr>
          <w:rFonts w:ascii="Arial" w:hAnsi="Arial" w:cs="Arial"/>
          <w:bCs/>
          <w:sz w:val="18"/>
          <w:szCs w:val="18"/>
        </w:rPr>
        <w:tab/>
      </w:r>
      <w:r>
        <w:rPr>
          <w:rFonts w:ascii="Arial" w:hAnsi="Arial" w:cs="Arial"/>
          <w:bCs/>
          <w:sz w:val="18"/>
          <w:szCs w:val="18"/>
        </w:rPr>
        <w:t xml:space="preserve">Rubella IgG Index of NC = </w:t>
      </w:r>
      <w:r>
        <w:rPr>
          <w:rFonts w:ascii="Arial" w:hAnsi="Arial" w:cs="Arial"/>
          <w:bCs/>
          <w:sz w:val="18"/>
          <w:szCs w:val="18"/>
        </w:rPr>
        <w:tab/>
      </w:r>
      <w:r>
        <w:rPr>
          <w:rFonts w:ascii="Arial" w:hAnsi="Arial" w:cs="Arial"/>
          <w:bCs/>
          <w:sz w:val="18"/>
          <w:szCs w:val="18"/>
        </w:rPr>
        <w:t>Absorbance of NC</w:t>
      </w:r>
    </w:p>
    <w:p w14:paraId="524DB009">
      <w:pPr>
        <w:tabs>
          <w:tab w:val="left" w:pos="360"/>
        </w:tabs>
        <w:ind w:left="288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70528" behindDoc="0" locked="0" layoutInCell="1" allowOverlap="1">
                <wp:simplePos x="0" y="0"/>
                <wp:positionH relativeFrom="column">
                  <wp:posOffset>1834515</wp:posOffset>
                </wp:positionH>
                <wp:positionV relativeFrom="paragraph">
                  <wp:posOffset>92710</wp:posOffset>
                </wp:positionV>
                <wp:extent cx="983615" cy="0"/>
                <wp:effectExtent l="0" t="0" r="0" b="0"/>
                <wp:wrapNone/>
                <wp:docPr id="1698582144" name="Straight Connector 16"/>
                <wp:cNvGraphicFramePr/>
                <a:graphic xmlns:a="http://schemas.openxmlformats.org/drawingml/2006/main">
                  <a:graphicData uri="http://schemas.microsoft.com/office/word/2010/wordprocessingShape">
                    <wps:wsp>
                      <wps:cNvCnPr/>
                      <wps:spPr>
                        <a:xfrm>
                          <a:off x="0" y="0"/>
                          <a:ext cx="983411"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6" o:spid="_x0000_s1026" o:spt="20" style="position:absolute;left:0pt;margin-left:144.45pt;margin-top:7.3pt;height:0pt;width:77.45pt;z-index:251670528;mso-width-relative:page;mso-height-relative:page;" filled="f" stroked="t" coordsize="21600,21600" o:gfxdata="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7dCzn1wAAAAkBAAAP&#10;AAAAAAAAAAEAIAAAACIAAABkcnMvZG93bnJldi54bWxQSwECFAAUAAAACACHTuJAoZFpouABAAC9&#10;AwAADgAAAAAAAAABACAAAAAmAQAAZHJzL2Uyb0RvYy54bWxQSwUGAAAAAAYABgBZAQAAeAUAAAAA&#10;">
                <v:fill on="f" focussize="0,0"/>
                <v:stroke weight="0.5pt" color="#156082 [3204]" miterlimit="8" joinstyle="miter"/>
                <v:imagedata o:title=""/>
                <o:lock v:ext="edit" aspectratio="f"/>
              </v:line>
            </w:pict>
          </mc:Fallback>
        </mc:AlternateContent>
      </w:r>
      <w:r>
        <w:rPr>
          <w:rFonts w:ascii="Arial" w:hAnsi="Arial" w:cs="Arial"/>
          <w:bCs/>
          <w:sz w:val="18"/>
          <w:szCs w:val="18"/>
        </w:rPr>
        <w:tab/>
      </w:r>
      <w:r>
        <w:rPr>
          <w:rFonts w:ascii="Arial" w:hAnsi="Arial" w:cs="Arial"/>
          <w:bCs/>
          <w:sz w:val="18"/>
          <w:szCs w:val="18"/>
        </w:rPr>
        <w:tab/>
      </w:r>
      <w:r>
        <w:rPr>
          <w:rFonts w:ascii="Arial" w:hAnsi="Arial" w:cs="Arial"/>
          <w:bCs/>
          <w:sz w:val="18"/>
          <w:szCs w:val="18"/>
        </w:rPr>
        <w:t xml:space="preserve"> Absorbance of Cut-Off calibrator</w:t>
      </w:r>
    </w:p>
    <w:p w14:paraId="0967328C">
      <w:pPr>
        <w:tabs>
          <w:tab w:val="left" w:pos="360"/>
        </w:tabs>
        <w:jc w:val="both"/>
        <w:rPr>
          <w:rFonts w:ascii="Arial" w:hAnsi="Arial" w:cs="Arial"/>
          <w:bCs/>
          <w:sz w:val="18"/>
          <w:szCs w:val="18"/>
        </w:rPr>
      </w:pPr>
    </w:p>
    <w:p w14:paraId="570AE034">
      <w:pPr>
        <w:tabs>
          <w:tab w:val="left" w:pos="360"/>
        </w:tabs>
        <w:jc w:val="both"/>
        <w:rPr>
          <w:rFonts w:ascii="Arial" w:hAnsi="Arial" w:cs="Arial"/>
          <w:bCs/>
          <w:sz w:val="18"/>
          <w:szCs w:val="18"/>
        </w:rPr>
      </w:pPr>
      <w:r>
        <w:rPr>
          <w:rFonts w:ascii="Arial" w:hAnsi="Arial" w:cs="Arial"/>
          <w:bCs/>
          <w:sz w:val="18"/>
          <w:szCs w:val="18"/>
        </w:rPr>
        <w:tab/>
      </w:r>
      <w:r>
        <w:rPr>
          <w:rFonts w:ascii="Arial" w:hAnsi="Arial" w:cs="Arial"/>
          <w:bCs/>
          <w:sz w:val="18"/>
          <w:szCs w:val="18"/>
        </w:rPr>
        <w:t xml:space="preserve">Rubella IgG Index of PC = </w:t>
      </w:r>
      <w:r>
        <w:rPr>
          <w:rFonts w:ascii="Arial" w:hAnsi="Arial" w:cs="Arial"/>
          <w:bCs/>
          <w:sz w:val="18"/>
          <w:szCs w:val="18"/>
        </w:rPr>
        <w:tab/>
      </w:r>
      <w:r>
        <w:rPr>
          <w:rFonts w:ascii="Arial" w:hAnsi="Arial" w:cs="Arial"/>
          <w:bCs/>
          <w:sz w:val="18"/>
          <w:szCs w:val="18"/>
        </w:rPr>
        <w:t>Absorbance of PC</w:t>
      </w:r>
    </w:p>
    <w:p w14:paraId="6FA3ABA7">
      <w:pPr>
        <w:tabs>
          <w:tab w:val="left" w:pos="360"/>
        </w:tabs>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71552" behindDoc="0" locked="0" layoutInCell="1" allowOverlap="1">
                <wp:simplePos x="0" y="0"/>
                <wp:positionH relativeFrom="column">
                  <wp:posOffset>1847850</wp:posOffset>
                </wp:positionH>
                <wp:positionV relativeFrom="paragraph">
                  <wp:posOffset>75565</wp:posOffset>
                </wp:positionV>
                <wp:extent cx="982980" cy="0"/>
                <wp:effectExtent l="0" t="0" r="0" b="0"/>
                <wp:wrapNone/>
                <wp:docPr id="682969110" name="Straight Connector 16"/>
                <wp:cNvGraphicFramePr/>
                <a:graphic xmlns:a="http://schemas.openxmlformats.org/drawingml/2006/main">
                  <a:graphicData uri="http://schemas.microsoft.com/office/word/2010/wordprocessingShape">
                    <wps:wsp>
                      <wps:cNvCnPr/>
                      <wps:spPr>
                        <a:xfrm>
                          <a:off x="0" y="0"/>
                          <a:ext cx="9829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6" o:spid="_x0000_s1026" o:spt="20" style="position:absolute;left:0pt;margin-left:145.5pt;margin-top:5.95pt;height:0pt;width:77.4pt;z-index:251671552;mso-width-relative:page;mso-height-relative:page;" filled="f" stroked="t" coordsize="21600,21600" o:gfxdata="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I8Jco1gAAAAkBAAAPAAAAAAAA&#10;AAEAIAAAACIAAABkcnMvZG93bnJldi54bWxQSwECFAAUAAAACACHTuJArbOdktsBAAC8AwAADgAA&#10;AAAAAAABACAAAAAlAQAAZHJzL2Uyb0RvYy54bWxQSwUGAAAAAAYABgBZAQAAcgUAAAAA&#10;">
                <v:fill on="f" focussize="0,0"/>
                <v:stroke weight="0.5pt" color="#156082 [3204]" miterlimit="8" joinstyle="miter"/>
                <v:imagedata o:title=""/>
                <o:lock v:ext="edit" aspectratio="f"/>
              </v:line>
            </w:pict>
          </mc:Fallback>
        </mc:AlternateContent>
      </w:r>
    </w:p>
    <w:p w14:paraId="5747FF55">
      <w:pPr>
        <w:tabs>
          <w:tab w:val="left" w:pos="360"/>
        </w:tabs>
        <w:ind w:left="2880"/>
        <w:rPr>
          <w:rFonts w:ascii="Arial" w:hAnsi="Arial" w:cs="Arial"/>
          <w:bCs/>
          <w:sz w:val="18"/>
          <w:szCs w:val="18"/>
        </w:rPr>
      </w:pPr>
      <w:r>
        <w:rPr>
          <w:rFonts w:ascii="Arial" w:hAnsi="Arial" w:cs="Arial"/>
          <w:bCs/>
          <w:sz w:val="18"/>
          <w:szCs w:val="18"/>
        </w:rPr>
        <w:t>Absorbance of Cut-Off calibrator</w:t>
      </w:r>
    </w:p>
    <w:p w14:paraId="001B54EC">
      <w:pPr>
        <w:tabs>
          <w:tab w:val="left" w:pos="360"/>
        </w:tabs>
        <w:jc w:val="both"/>
        <w:rPr>
          <w:rFonts w:ascii="Arial" w:hAnsi="Arial" w:cs="Arial"/>
          <w:bCs/>
          <w:sz w:val="18"/>
          <w:szCs w:val="18"/>
        </w:rPr>
      </w:pPr>
    </w:p>
    <w:p w14:paraId="2E01B501">
      <w:pPr>
        <w:tabs>
          <w:tab w:val="left" w:pos="360"/>
        </w:tabs>
        <w:ind w:left="3486" w:hanging="3486" w:hangingChars="1937"/>
        <w:jc w:val="both"/>
        <w:rPr>
          <w:rFonts w:ascii="Arial" w:hAnsi="Arial" w:cs="Arial"/>
          <w:bCs/>
          <w:sz w:val="18"/>
          <w:szCs w:val="18"/>
        </w:rPr>
      </w:pPr>
      <w:r>
        <w:rPr>
          <w:rFonts w:ascii="Arial" w:hAnsi="Arial" w:cs="Arial"/>
          <w:bCs/>
          <w:sz w:val="18"/>
          <w:szCs w:val="18"/>
        </w:rPr>
        <w:tab/>
      </w:r>
      <w:r>
        <w:rPr>
          <w:rFonts w:ascii="Arial" w:hAnsi="Arial" w:cs="Arial"/>
          <w:bCs/>
          <w:sz w:val="18"/>
          <w:szCs w:val="18"/>
        </w:rPr>
        <w:t>Rubella IgG Index of sample = Absorbance of Sample</w:t>
      </w:r>
    </w:p>
    <w:p w14:paraId="65A7B999">
      <w:pPr>
        <w:tabs>
          <w:tab w:val="left" w:pos="360"/>
        </w:tabs>
        <w:ind w:left="2880" w:hanging="288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72576" behindDoc="0" locked="0" layoutInCell="1" allowOverlap="1">
                <wp:simplePos x="0" y="0"/>
                <wp:positionH relativeFrom="column">
                  <wp:posOffset>1879600</wp:posOffset>
                </wp:positionH>
                <wp:positionV relativeFrom="paragraph">
                  <wp:posOffset>78740</wp:posOffset>
                </wp:positionV>
                <wp:extent cx="982980" cy="0"/>
                <wp:effectExtent l="0" t="0" r="0" b="0"/>
                <wp:wrapNone/>
                <wp:docPr id="1041750616" name="Straight Connector 16"/>
                <wp:cNvGraphicFramePr/>
                <a:graphic xmlns:a="http://schemas.openxmlformats.org/drawingml/2006/main">
                  <a:graphicData uri="http://schemas.microsoft.com/office/word/2010/wordprocessingShape">
                    <wps:wsp>
                      <wps:cNvCnPr/>
                      <wps:spPr>
                        <a:xfrm>
                          <a:off x="0" y="0"/>
                          <a:ext cx="9829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6" o:spid="_x0000_s1026" o:spt="20" style="position:absolute;left:0pt;margin-left:148pt;margin-top:6.2pt;height:0pt;width:77.4pt;z-index:251672576;mso-width-relative:page;mso-height-relative:page;" filled="f" stroked="t" coordsize="21600,21600" o:gfxdata="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aKpGP1gAAAAkBAAAPAAAA&#10;AAAAAAEAIAAAACIAAABkcnMvZG93bnJldi54bWxQSwECFAAUAAAACACHTuJAdQT37t4BAAC9AwAA&#10;DgAAAAAAAAABACAAAAAlAQAAZHJzL2Uyb0RvYy54bWxQSwUGAAAAAAYABgBZAQAAdQUAAAAA&#10;">
                <v:fill on="f" focussize="0,0"/>
                <v:stroke weight="0.5pt" color="#156082 [3204]" miterlimit="8" joinstyle="miter"/>
                <v:imagedata o:title=""/>
                <o:lock v:ext="edit" aspectratio="f"/>
              </v:line>
            </w:pict>
          </mc:Fallback>
        </mc:AlternateContent>
      </w:r>
      <w:r>
        <w:rPr>
          <w:rFonts w:ascii="Arial" w:hAnsi="Arial" w:cs="Arial"/>
          <w:bCs/>
          <w:sz w:val="18"/>
          <w:szCs w:val="18"/>
        </w:rPr>
        <w:t xml:space="preserve"> </w:t>
      </w:r>
      <w:r>
        <w:rPr>
          <w:rFonts w:ascii="Arial" w:hAnsi="Arial" w:cs="Arial"/>
          <w:bCs/>
          <w:sz w:val="18"/>
          <w:szCs w:val="18"/>
        </w:rPr>
        <w:tab/>
      </w:r>
    </w:p>
    <w:p w14:paraId="0AF1DCA9">
      <w:pPr>
        <w:tabs>
          <w:tab w:val="left" w:pos="360"/>
        </w:tabs>
        <w:ind w:left="2880" w:hanging="2880"/>
        <w:jc w:val="both"/>
        <w:rPr>
          <w:rFonts w:ascii="Arial" w:hAnsi="Arial" w:cs="Arial"/>
          <w:bCs/>
          <w:sz w:val="18"/>
          <w:szCs w:val="18"/>
        </w:rPr>
      </w:pPr>
      <w:r>
        <w:rPr>
          <w:rFonts w:ascii="Arial" w:hAnsi="Arial" w:cs="Arial"/>
          <w:bCs/>
          <w:sz w:val="18"/>
          <w:szCs w:val="18"/>
        </w:rPr>
        <w:tab/>
      </w:r>
      <w:r>
        <w:rPr>
          <w:rFonts w:ascii="Arial" w:hAnsi="Arial" w:cs="Arial"/>
          <w:bCs/>
          <w:sz w:val="18"/>
          <w:szCs w:val="18"/>
        </w:rPr>
        <w:tab/>
      </w:r>
      <w:r>
        <w:rPr>
          <w:rFonts w:ascii="Arial" w:hAnsi="Arial" w:cs="Arial"/>
          <w:bCs/>
          <w:sz w:val="18"/>
          <w:szCs w:val="18"/>
        </w:rPr>
        <w:t>Absorbance of Cut-Off calibrator</w:t>
      </w:r>
    </w:p>
    <w:p w14:paraId="7BAAE42E">
      <w:pPr>
        <w:tabs>
          <w:tab w:val="left" w:pos="360"/>
        </w:tabs>
        <w:jc w:val="both"/>
        <w:rPr>
          <w:rFonts w:ascii="Arial" w:hAnsi="Arial" w:cs="Arial"/>
          <w:bCs/>
          <w:sz w:val="18"/>
          <w:szCs w:val="18"/>
        </w:rPr>
      </w:pPr>
    </w:p>
    <w:p w14:paraId="6600C008">
      <w:pPr>
        <w:tabs>
          <w:tab w:val="left" w:pos="360"/>
        </w:tabs>
        <w:jc w:val="both"/>
        <w:rPr>
          <w:rFonts w:ascii="Arial" w:hAnsi="Arial" w:cs="Arial"/>
          <w:bCs/>
          <w:sz w:val="18"/>
          <w:szCs w:val="18"/>
        </w:rPr>
      </w:pPr>
      <w:r>
        <w:rPr>
          <w:rFonts w:ascii="Arial" w:hAnsi="Arial" w:cs="Arial"/>
          <w:bCs/>
          <w:sz w:val="18"/>
          <w:szCs w:val="18"/>
        </w:rPr>
        <w:t>Quantitative Determination of Rubella IgG</w:t>
      </w:r>
    </w:p>
    <w:p w14:paraId="1FD19900">
      <w:pPr>
        <w:tabs>
          <w:tab w:val="left" w:pos="360"/>
        </w:tabs>
        <w:jc w:val="both"/>
        <w:rPr>
          <w:rFonts w:ascii="Arial" w:hAnsi="Arial" w:cs="Arial"/>
          <w:bCs/>
          <w:sz w:val="18"/>
          <w:szCs w:val="18"/>
        </w:rPr>
      </w:pPr>
      <w:r>
        <w:rPr>
          <w:rFonts w:ascii="Arial" w:hAnsi="Arial" w:cs="Arial"/>
          <w:bCs/>
          <w:sz w:val="18"/>
          <w:szCs w:val="18"/>
        </w:rPr>
        <w:t>For a quantitative estimate of anti-Rubella IgG levels of positive specimens in IU/ml, OD of cut-off and positive calibrators are plotted on Y-axis in graph versus their corresponding anti-Rubella IgG concentration of 0, 15, 30, and 100 IU/ml on X-axis.  The estimates of levels in patient sera are read off the graph using their individual OD values. For example:</w:t>
      </w:r>
    </w:p>
    <w:p w14:paraId="3321B2FE">
      <w:pPr>
        <w:tabs>
          <w:tab w:val="left" w:pos="360"/>
        </w:tabs>
        <w:jc w:val="both"/>
        <w:rPr>
          <w:rFonts w:ascii="Arial" w:hAnsi="Arial" w:cs="Arial"/>
          <w:bCs/>
          <w:sz w:val="18"/>
          <w:szCs w:val="18"/>
        </w:rPr>
      </w:pPr>
    </w:p>
    <w:p w14:paraId="5C734D81">
      <w:pPr>
        <w:tabs>
          <w:tab w:val="left" w:pos="360"/>
        </w:tabs>
        <w:jc w:val="both"/>
        <w:rPr>
          <w:rFonts w:ascii="Arial" w:hAnsi="Arial" w:cs="Arial"/>
          <w:bCs/>
          <w:sz w:val="18"/>
          <w:szCs w:val="18"/>
        </w:rPr>
      </w:pPr>
    </w:p>
    <w:p w14:paraId="65F5F718">
      <w:pPr>
        <w:tabs>
          <w:tab w:val="left" w:pos="360"/>
        </w:tabs>
        <w:jc w:val="both"/>
        <w:rPr>
          <w:rFonts w:ascii="Arial" w:hAnsi="Arial" w:cs="Arial"/>
          <w:bCs/>
          <w:sz w:val="18"/>
          <w:szCs w:val="18"/>
        </w:rPr>
      </w:pPr>
      <w:r>
        <w:object>
          <v:shape id="_x0000_i1025" o:spt="75" type="#_x0000_t75" style="height:100.5pt;width:246.55pt;" o:ole="t" filled="f" o:preferrelative="t" stroked="f" coordsize="21600,21600">
            <v:path/>
            <v:fill on="f" focussize="0,0"/>
            <v:stroke on="f" joinstyle="miter"/>
            <v:imagedata r:id="rId11" o:title=""/>
            <o:lock v:ext="edit" aspectratio="t"/>
            <w10:wrap type="none"/>
            <w10:anchorlock/>
          </v:shape>
          <o:OLEObject Type="Embed" ProgID="CorelDraw.Graphic.23" ShapeID="_x0000_i1025" DrawAspect="Content" ObjectID="_1468075725" r:id="rId10">
            <o:LockedField>false</o:LockedField>
          </o:OLEObject>
        </w:object>
      </w:r>
    </w:p>
    <w:p w14:paraId="5461207E">
      <w:pPr>
        <w:tabs>
          <w:tab w:val="left" w:pos="360"/>
        </w:tabs>
        <w:jc w:val="both"/>
        <w:rPr>
          <w:rFonts w:ascii="Arial" w:hAnsi="Arial" w:cs="Arial"/>
          <w:bCs/>
          <w:sz w:val="18"/>
          <w:szCs w:val="18"/>
        </w:rPr>
      </w:pPr>
    </w:p>
    <w:p w14:paraId="026BCF66">
      <w:pPr>
        <w:tabs>
          <w:tab w:val="left" w:pos="360"/>
        </w:tabs>
        <w:jc w:val="both"/>
        <w:rPr>
          <w:rFonts w:ascii="Arial" w:hAnsi="Arial" w:cs="Arial"/>
          <w:bCs/>
          <w:sz w:val="18"/>
          <w:szCs w:val="18"/>
        </w:rPr>
      </w:pPr>
    </w:p>
    <w:p w14:paraId="1F448BEF">
      <w:pPr>
        <w:tabs>
          <w:tab w:val="left" w:pos="360"/>
        </w:tabs>
        <w:jc w:val="both"/>
        <w:rPr>
          <w:rFonts w:ascii="Arial" w:hAnsi="Arial" w:cs="Arial"/>
          <w:bCs/>
          <w:sz w:val="18"/>
          <w:szCs w:val="18"/>
        </w:rPr>
      </w:pPr>
    </w:p>
    <w:p w14:paraId="58D6288B">
      <w:pPr>
        <w:tabs>
          <w:tab w:val="left" w:pos="360"/>
        </w:tabs>
        <w:jc w:val="both"/>
        <w:rPr>
          <w:rFonts w:ascii="Arial" w:hAnsi="Arial" w:cs="Arial"/>
          <w:bCs/>
          <w:sz w:val="18"/>
          <w:szCs w:val="18"/>
        </w:rPr>
      </w:pPr>
      <w:r>
        <w:rPr>
          <w:rFonts w:ascii="Arial" w:hAnsi="Arial" w:cs="Arial"/>
          <w:bCs/>
          <w:sz w:val="18"/>
          <w:szCs w:val="18"/>
        </w:rPr>
        <w:t>INTERPRETATION OF THE RESULT</w:t>
      </w:r>
    </w:p>
    <w:p w14:paraId="10E35B53">
      <w:pPr>
        <w:tabs>
          <w:tab w:val="left" w:pos="360"/>
        </w:tabs>
        <w:jc w:val="both"/>
        <w:rPr>
          <w:rFonts w:ascii="Arial" w:hAnsi="Arial" w:cs="Arial"/>
          <w:bCs/>
          <w:sz w:val="18"/>
          <w:szCs w:val="18"/>
        </w:rPr>
      </w:pPr>
    </w:p>
    <w:p w14:paraId="2122802D">
      <w:pPr>
        <w:tabs>
          <w:tab w:val="left" w:pos="360"/>
        </w:tabs>
        <w:jc w:val="both"/>
        <w:rPr>
          <w:rFonts w:ascii="Arial" w:hAnsi="Arial" w:cs="Arial"/>
          <w:bCs/>
          <w:sz w:val="18"/>
          <w:szCs w:val="18"/>
        </w:rPr>
      </w:pPr>
    </w:p>
    <w:tbl>
      <w:tblPr>
        <w:tblStyle w:val="11"/>
        <w:tblW w:w="45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1277"/>
        <w:gridCol w:w="1978"/>
      </w:tblGrid>
      <w:tr w14:paraId="61C9C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tcPr>
          <w:p w14:paraId="506E5B6C">
            <w:pPr>
              <w:tabs>
                <w:tab w:val="left" w:pos="360"/>
              </w:tabs>
              <w:jc w:val="both"/>
              <w:rPr>
                <w:rFonts w:ascii="Arial" w:hAnsi="Arial" w:cs="Arial"/>
                <w:b/>
                <w:sz w:val="18"/>
                <w:szCs w:val="18"/>
              </w:rPr>
            </w:pPr>
            <w:r>
              <w:rPr>
                <w:rFonts w:ascii="Arial" w:hAnsi="Arial" w:cs="Arial"/>
                <w:b/>
                <w:sz w:val="18"/>
                <w:szCs w:val="18"/>
              </w:rPr>
              <w:t>IgG Index Value</w:t>
            </w:r>
          </w:p>
        </w:tc>
        <w:tc>
          <w:tcPr>
            <w:tcW w:w="1277" w:type="dxa"/>
          </w:tcPr>
          <w:p w14:paraId="34B627E2">
            <w:pPr>
              <w:tabs>
                <w:tab w:val="left" w:pos="360"/>
              </w:tabs>
              <w:jc w:val="both"/>
              <w:rPr>
                <w:rFonts w:ascii="Arial" w:hAnsi="Arial" w:cs="Arial"/>
                <w:b/>
                <w:sz w:val="18"/>
                <w:szCs w:val="18"/>
              </w:rPr>
            </w:pPr>
            <w:r>
              <w:rPr>
                <w:rFonts w:ascii="Arial" w:hAnsi="Arial" w:cs="Arial"/>
                <w:b/>
                <w:sz w:val="18"/>
                <w:szCs w:val="18"/>
              </w:rPr>
              <w:t>Result</w:t>
            </w:r>
          </w:p>
        </w:tc>
        <w:tc>
          <w:tcPr>
            <w:tcW w:w="1978" w:type="dxa"/>
          </w:tcPr>
          <w:p w14:paraId="4B24E749">
            <w:pPr>
              <w:tabs>
                <w:tab w:val="left" w:pos="360"/>
              </w:tabs>
              <w:jc w:val="both"/>
              <w:rPr>
                <w:rFonts w:ascii="Arial" w:hAnsi="Arial" w:cs="Arial"/>
                <w:b/>
                <w:sz w:val="18"/>
                <w:szCs w:val="18"/>
              </w:rPr>
            </w:pPr>
            <w:r>
              <w:rPr>
                <w:rFonts w:ascii="Arial" w:hAnsi="Arial" w:cs="Arial"/>
                <w:b/>
                <w:sz w:val="18"/>
                <w:szCs w:val="18"/>
              </w:rPr>
              <w:t>Interpretation</w:t>
            </w:r>
          </w:p>
        </w:tc>
      </w:tr>
      <w:tr w14:paraId="5D243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tcPr>
          <w:p w14:paraId="5F89C3E3">
            <w:pPr>
              <w:tabs>
                <w:tab w:val="left" w:pos="360"/>
              </w:tabs>
              <w:jc w:val="both"/>
              <w:rPr>
                <w:rFonts w:ascii="Arial" w:hAnsi="Arial" w:cs="Arial"/>
                <w:bCs/>
                <w:sz w:val="18"/>
                <w:szCs w:val="18"/>
              </w:rPr>
            </w:pPr>
            <w:r>
              <w:rPr>
                <w:rFonts w:ascii="Arial" w:hAnsi="Arial" w:cs="Arial"/>
                <w:bCs/>
                <w:sz w:val="18"/>
                <w:szCs w:val="18"/>
              </w:rPr>
              <w:t xml:space="preserve">IgG Index </w:t>
            </w:r>
          </w:p>
          <w:p w14:paraId="1419A6C2">
            <w:pPr>
              <w:tabs>
                <w:tab w:val="left" w:pos="360"/>
              </w:tabs>
              <w:jc w:val="both"/>
              <w:rPr>
                <w:rFonts w:ascii="Arial" w:hAnsi="Arial" w:cs="Arial"/>
                <w:bCs/>
                <w:sz w:val="18"/>
                <w:szCs w:val="18"/>
              </w:rPr>
            </w:pPr>
            <w:r>
              <w:rPr>
                <w:rFonts w:ascii="Arial" w:hAnsi="Arial" w:cs="Arial"/>
                <w:bCs/>
                <w:sz w:val="18"/>
                <w:szCs w:val="18"/>
              </w:rPr>
              <w:t>value &lt;0.90</w:t>
            </w:r>
          </w:p>
        </w:tc>
        <w:tc>
          <w:tcPr>
            <w:tcW w:w="1277" w:type="dxa"/>
          </w:tcPr>
          <w:p w14:paraId="371F1E12">
            <w:pPr>
              <w:tabs>
                <w:tab w:val="left" w:pos="360"/>
              </w:tabs>
              <w:jc w:val="both"/>
              <w:rPr>
                <w:rFonts w:ascii="Arial" w:hAnsi="Arial" w:cs="Arial"/>
                <w:bCs/>
                <w:sz w:val="18"/>
                <w:szCs w:val="18"/>
              </w:rPr>
            </w:pPr>
            <w:r>
              <w:rPr>
                <w:rFonts w:ascii="Arial" w:hAnsi="Arial" w:cs="Arial"/>
                <w:bCs/>
                <w:sz w:val="18"/>
                <w:szCs w:val="18"/>
              </w:rPr>
              <w:t>Negative</w:t>
            </w:r>
          </w:p>
        </w:tc>
        <w:tc>
          <w:tcPr>
            <w:tcW w:w="1978" w:type="dxa"/>
          </w:tcPr>
          <w:p w14:paraId="3FD157DB">
            <w:pPr>
              <w:tabs>
                <w:tab w:val="left" w:pos="360"/>
              </w:tabs>
              <w:jc w:val="both"/>
              <w:rPr>
                <w:rFonts w:ascii="Arial" w:hAnsi="Arial" w:cs="Arial"/>
                <w:bCs/>
                <w:sz w:val="18"/>
                <w:szCs w:val="18"/>
              </w:rPr>
            </w:pPr>
            <w:r>
              <w:rPr>
                <w:rFonts w:ascii="Arial" w:hAnsi="Arial" w:cs="Arial"/>
                <w:bCs/>
                <w:sz w:val="18"/>
                <w:szCs w:val="18"/>
              </w:rPr>
              <w:t>Indicates absence of prior exposure to Rubella virus (&lt; 13 IU/ml)</w:t>
            </w:r>
          </w:p>
        </w:tc>
      </w:tr>
      <w:tr w14:paraId="03C79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tcPr>
          <w:p w14:paraId="50B98ABD">
            <w:pPr>
              <w:tabs>
                <w:tab w:val="left" w:pos="360"/>
              </w:tabs>
              <w:jc w:val="both"/>
              <w:rPr>
                <w:rFonts w:ascii="Arial" w:hAnsi="Arial" w:cs="Arial"/>
                <w:bCs/>
                <w:sz w:val="18"/>
                <w:szCs w:val="18"/>
              </w:rPr>
            </w:pPr>
            <w:r>
              <w:rPr>
                <w:rFonts w:ascii="Arial" w:hAnsi="Arial" w:cs="Arial"/>
                <w:bCs/>
                <w:sz w:val="18"/>
                <w:szCs w:val="18"/>
              </w:rPr>
              <w:t>IgG Index value 0.91-0.99</w:t>
            </w:r>
            <w:r>
              <w:rPr>
                <w:rFonts w:ascii="Arial" w:hAnsi="Arial" w:cs="Arial"/>
                <w:bCs/>
                <w:sz w:val="18"/>
                <w:szCs w:val="18"/>
              </w:rPr>
              <w:tab/>
            </w:r>
          </w:p>
        </w:tc>
        <w:tc>
          <w:tcPr>
            <w:tcW w:w="1277" w:type="dxa"/>
          </w:tcPr>
          <w:p w14:paraId="790C57B6">
            <w:pPr>
              <w:tabs>
                <w:tab w:val="left" w:pos="360"/>
              </w:tabs>
              <w:jc w:val="both"/>
              <w:rPr>
                <w:rFonts w:ascii="Arial" w:hAnsi="Arial" w:cs="Arial"/>
                <w:bCs/>
                <w:sz w:val="18"/>
                <w:szCs w:val="18"/>
              </w:rPr>
            </w:pPr>
            <w:r>
              <w:rPr>
                <w:rFonts w:ascii="Arial" w:hAnsi="Arial" w:cs="Arial"/>
                <w:bCs/>
                <w:sz w:val="18"/>
                <w:szCs w:val="18"/>
              </w:rPr>
              <w:t>Grey zone</w:t>
            </w:r>
          </w:p>
        </w:tc>
        <w:tc>
          <w:tcPr>
            <w:tcW w:w="1978" w:type="dxa"/>
          </w:tcPr>
          <w:p w14:paraId="2E60D3D1">
            <w:pPr>
              <w:tabs>
                <w:tab w:val="left" w:pos="360"/>
              </w:tabs>
              <w:jc w:val="both"/>
              <w:rPr>
                <w:rFonts w:ascii="Arial" w:hAnsi="Arial" w:cs="Arial"/>
                <w:bCs/>
                <w:sz w:val="18"/>
                <w:szCs w:val="18"/>
              </w:rPr>
            </w:pPr>
            <w:r>
              <w:rPr>
                <w:rFonts w:ascii="Arial" w:hAnsi="Arial" w:cs="Arial"/>
                <w:bCs/>
                <w:sz w:val="18"/>
                <w:szCs w:val="18"/>
              </w:rPr>
              <w:t xml:space="preserve">Sample should be retested </w:t>
            </w:r>
          </w:p>
          <w:p w14:paraId="53AAC188">
            <w:pPr>
              <w:tabs>
                <w:tab w:val="left" w:pos="360"/>
              </w:tabs>
              <w:jc w:val="both"/>
              <w:rPr>
                <w:rFonts w:ascii="Arial" w:hAnsi="Arial" w:cs="Arial"/>
                <w:bCs/>
                <w:sz w:val="18"/>
                <w:szCs w:val="18"/>
              </w:rPr>
            </w:pPr>
            <w:r>
              <w:rPr>
                <w:rFonts w:ascii="Arial" w:hAnsi="Arial" w:cs="Arial"/>
                <w:bCs/>
                <w:sz w:val="18"/>
                <w:szCs w:val="18"/>
              </w:rPr>
              <w:t>(13-15 IU/ml)</w:t>
            </w:r>
          </w:p>
          <w:p w14:paraId="698DE643">
            <w:pPr>
              <w:tabs>
                <w:tab w:val="left" w:pos="360"/>
              </w:tabs>
              <w:jc w:val="both"/>
              <w:rPr>
                <w:rFonts w:ascii="Arial" w:hAnsi="Arial" w:cs="Arial"/>
                <w:bCs/>
                <w:sz w:val="18"/>
                <w:szCs w:val="18"/>
              </w:rPr>
            </w:pPr>
          </w:p>
        </w:tc>
      </w:tr>
      <w:tr w14:paraId="6FE7D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tcPr>
          <w:p w14:paraId="19EC2CEA">
            <w:pPr>
              <w:tabs>
                <w:tab w:val="left" w:pos="360"/>
              </w:tabs>
              <w:jc w:val="both"/>
              <w:rPr>
                <w:rFonts w:ascii="Arial" w:hAnsi="Arial" w:cs="Arial"/>
                <w:bCs/>
                <w:sz w:val="18"/>
                <w:szCs w:val="18"/>
              </w:rPr>
            </w:pPr>
            <w:r>
              <w:rPr>
                <w:rFonts w:ascii="Arial" w:hAnsi="Arial" w:cs="Arial"/>
                <w:bCs/>
                <w:sz w:val="18"/>
                <w:szCs w:val="18"/>
              </w:rPr>
              <w:t>IgG Index value &gt;1.0</w:t>
            </w:r>
          </w:p>
        </w:tc>
        <w:tc>
          <w:tcPr>
            <w:tcW w:w="1277" w:type="dxa"/>
          </w:tcPr>
          <w:p w14:paraId="1483C97A">
            <w:pPr>
              <w:tabs>
                <w:tab w:val="left" w:pos="360"/>
              </w:tabs>
              <w:jc w:val="both"/>
              <w:rPr>
                <w:rFonts w:ascii="Arial" w:hAnsi="Arial" w:cs="Arial"/>
                <w:bCs/>
                <w:sz w:val="18"/>
                <w:szCs w:val="18"/>
              </w:rPr>
            </w:pPr>
            <w:r>
              <w:rPr>
                <w:rFonts w:ascii="Arial" w:hAnsi="Arial" w:cs="Arial"/>
                <w:bCs/>
                <w:sz w:val="18"/>
                <w:szCs w:val="18"/>
              </w:rPr>
              <w:t>Positive</w:t>
            </w:r>
          </w:p>
        </w:tc>
        <w:tc>
          <w:tcPr>
            <w:tcW w:w="1978" w:type="dxa"/>
          </w:tcPr>
          <w:p w14:paraId="0258BC3A">
            <w:pPr>
              <w:tabs>
                <w:tab w:val="left" w:pos="360"/>
              </w:tabs>
              <w:jc w:val="both"/>
              <w:rPr>
                <w:rFonts w:ascii="Arial" w:hAnsi="Arial" w:cs="Arial"/>
                <w:bCs/>
                <w:sz w:val="18"/>
                <w:szCs w:val="18"/>
              </w:rPr>
            </w:pPr>
            <w:r>
              <w:rPr>
                <w:rFonts w:ascii="Arial" w:hAnsi="Arial" w:cs="Arial"/>
                <w:bCs/>
                <w:sz w:val="18"/>
                <w:szCs w:val="18"/>
              </w:rPr>
              <w:t>Indicates prior exposure to Rubella virus (&gt; 15 IU/ml)</w:t>
            </w:r>
          </w:p>
          <w:p w14:paraId="1ED51734">
            <w:pPr>
              <w:tabs>
                <w:tab w:val="left" w:pos="360"/>
              </w:tabs>
              <w:jc w:val="both"/>
              <w:rPr>
                <w:rFonts w:ascii="Arial" w:hAnsi="Arial" w:cs="Arial"/>
                <w:bCs/>
                <w:sz w:val="18"/>
                <w:szCs w:val="18"/>
              </w:rPr>
            </w:pPr>
          </w:p>
        </w:tc>
      </w:tr>
    </w:tbl>
    <w:p w14:paraId="55926408">
      <w:pPr>
        <w:tabs>
          <w:tab w:val="left" w:pos="360"/>
        </w:tabs>
        <w:jc w:val="both"/>
        <w:rPr>
          <w:rFonts w:ascii="Arial" w:hAnsi="Arial" w:cs="Arial"/>
          <w:bCs/>
          <w:sz w:val="18"/>
          <w:szCs w:val="18"/>
        </w:rPr>
      </w:pPr>
    </w:p>
    <w:p w14:paraId="12F0A398">
      <w:pPr>
        <w:tabs>
          <w:tab w:val="left" w:pos="360"/>
        </w:tabs>
        <w:jc w:val="both"/>
        <w:rPr>
          <w:rFonts w:ascii="Arial" w:hAnsi="Arial" w:cs="Arial"/>
          <w:bCs/>
          <w:sz w:val="18"/>
          <w:szCs w:val="18"/>
        </w:rPr>
      </w:pPr>
      <w:r>
        <w:rPr>
          <w:rFonts w:ascii="Arial" w:hAnsi="Arial" w:cs="Arial"/>
          <w:bCs/>
          <w:sz w:val="18"/>
          <w:szCs w:val="18"/>
        </w:rPr>
        <w:tab/>
      </w:r>
    </w:p>
    <w:p w14:paraId="34C0BD16">
      <w:pPr>
        <w:tabs>
          <w:tab w:val="left" w:pos="360"/>
        </w:tabs>
        <w:jc w:val="both"/>
        <w:rPr>
          <w:rFonts w:ascii="Arial" w:hAnsi="Arial" w:cs="Arial"/>
          <w:bCs/>
          <w:sz w:val="18"/>
          <w:szCs w:val="18"/>
        </w:rPr>
      </w:pPr>
      <w:r>
        <w:rPr>
          <w:rFonts w:ascii="Arial" w:hAnsi="Arial" w:cs="Arial"/>
          <w:bCs/>
          <w:sz w:val="18"/>
          <w:szCs w:val="18"/>
        </w:rPr>
        <w:t>Significant change in antibody level:</w:t>
      </w:r>
    </w:p>
    <w:p w14:paraId="6122B7AD">
      <w:pPr>
        <w:tabs>
          <w:tab w:val="left" w:pos="360"/>
        </w:tabs>
        <w:jc w:val="both"/>
        <w:rPr>
          <w:rFonts w:ascii="Arial" w:hAnsi="Arial" w:cs="Arial"/>
          <w:bCs/>
          <w:sz w:val="18"/>
          <w:szCs w:val="18"/>
        </w:rPr>
      </w:pPr>
      <w:r>
        <w:rPr>
          <w:rFonts w:ascii="Arial" w:hAnsi="Arial" w:cs="Arial"/>
          <w:bCs/>
          <w:sz w:val="18"/>
          <w:szCs w:val="18"/>
        </w:rPr>
        <w:t>The ratio between the Rubella G Index of convalescent sample and that of pre-vaccination sample should be greater than 1.5 to be suggestive of a significant rise in antibody level.</w:t>
      </w:r>
    </w:p>
    <w:p w14:paraId="0BED5B04">
      <w:pPr>
        <w:tabs>
          <w:tab w:val="left" w:pos="360"/>
        </w:tabs>
        <w:jc w:val="both"/>
        <w:rPr>
          <w:rFonts w:ascii="Arial" w:hAnsi="Arial" w:cs="Arial"/>
          <w:bCs/>
          <w:sz w:val="18"/>
          <w:szCs w:val="18"/>
        </w:rPr>
      </w:pPr>
    </w:p>
    <w:p w14:paraId="2BC962E6">
      <w:pPr>
        <w:tabs>
          <w:tab w:val="left" w:pos="360"/>
        </w:tabs>
        <w:jc w:val="both"/>
        <w:rPr>
          <w:rFonts w:ascii="Arial" w:hAnsi="Arial" w:cs="Arial"/>
          <w:bCs/>
          <w:sz w:val="18"/>
          <w:szCs w:val="18"/>
        </w:rPr>
      </w:pPr>
      <w:r>
        <w:rPr>
          <w:rFonts w:ascii="Arial" w:hAnsi="Arial" w:cs="Arial"/>
          <w:bCs/>
          <w:sz w:val="18"/>
          <w:szCs w:val="18"/>
        </w:rPr>
        <w:t>PERFORMANCE CHARACTERISTICS</w:t>
      </w:r>
    </w:p>
    <w:p w14:paraId="74C32EA8">
      <w:pPr>
        <w:tabs>
          <w:tab w:val="left" w:pos="360"/>
        </w:tabs>
        <w:jc w:val="both"/>
        <w:rPr>
          <w:rFonts w:ascii="Arial" w:hAnsi="Arial" w:cs="Arial"/>
          <w:bCs/>
          <w:sz w:val="18"/>
          <w:szCs w:val="18"/>
        </w:rPr>
      </w:pPr>
      <w:r>
        <w:rPr>
          <w:rFonts w:ascii="Arial" w:hAnsi="Arial" w:cs="Arial"/>
          <w:bCs/>
          <w:sz w:val="18"/>
          <w:szCs w:val="18"/>
        </w:rPr>
        <w:t>Sensitivity, specificity and accuracy were evaluated using a commercial available ELISA kit on 117 specimens. The correlation results are summarized in the following table:</w:t>
      </w:r>
    </w:p>
    <w:p w14:paraId="405E1855">
      <w:pPr>
        <w:tabs>
          <w:tab w:val="left" w:pos="360"/>
        </w:tabs>
        <w:jc w:val="both"/>
        <w:rPr>
          <w:rFonts w:ascii="Arial" w:hAnsi="Arial" w:cs="Arial"/>
          <w:bCs/>
          <w:sz w:val="18"/>
          <w:szCs w:val="18"/>
        </w:rPr>
      </w:pPr>
    </w:p>
    <w:tbl>
      <w:tblPr>
        <w:tblStyle w:val="11"/>
        <w:tblpPr w:leftFromText="180" w:rightFromText="180" w:vertAnchor="text" w:horzAnchor="page" w:tblpX="723" w:tblpY="208"/>
        <w:tblOverlap w:val="never"/>
        <w:tblW w:w="45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8"/>
        <w:gridCol w:w="687"/>
        <w:gridCol w:w="863"/>
        <w:gridCol w:w="512"/>
        <w:gridCol w:w="725"/>
        <w:gridCol w:w="654"/>
      </w:tblGrid>
      <w:tr w14:paraId="06AA7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5" w:type="dxa"/>
            <w:gridSpan w:val="2"/>
            <w:tcBorders>
              <w:top w:val="nil"/>
              <w:left w:val="nil"/>
              <w:bottom w:val="nil"/>
              <w:right w:val="single" w:color="auto" w:sz="4" w:space="0"/>
            </w:tcBorders>
          </w:tcPr>
          <w:p w14:paraId="1C7CA2A3">
            <w:pPr>
              <w:tabs>
                <w:tab w:val="left" w:pos="360"/>
              </w:tabs>
              <w:jc w:val="right"/>
              <w:rPr>
                <w:rFonts w:ascii="Arial" w:hAnsi="Arial" w:cs="Arial"/>
                <w:bCs/>
                <w:sz w:val="18"/>
                <w:szCs w:val="18"/>
              </w:rPr>
            </w:pPr>
          </w:p>
        </w:tc>
        <w:tc>
          <w:tcPr>
            <w:tcW w:w="2754" w:type="dxa"/>
            <w:gridSpan w:val="4"/>
            <w:tcBorders>
              <w:left w:val="single" w:color="auto" w:sz="4" w:space="0"/>
            </w:tcBorders>
          </w:tcPr>
          <w:p w14:paraId="04DBF8C4">
            <w:pPr>
              <w:tabs>
                <w:tab w:val="left" w:pos="360"/>
              </w:tabs>
              <w:jc w:val="right"/>
              <w:rPr>
                <w:rFonts w:ascii="Arial" w:hAnsi="Arial" w:cs="Arial"/>
                <w:sz w:val="18"/>
                <w:szCs w:val="18"/>
              </w:rPr>
            </w:pPr>
            <w:r>
              <w:rPr>
                <w:rFonts w:ascii="Arial" w:hAnsi="Arial" w:cs="Arial"/>
                <w:sz w:val="18"/>
                <w:szCs w:val="18"/>
              </w:rPr>
              <w:t xml:space="preserve">  Reference ELISA</w:t>
            </w:r>
          </w:p>
        </w:tc>
      </w:tr>
      <w:tr w14:paraId="27075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5" w:type="dxa"/>
            <w:gridSpan w:val="2"/>
            <w:tcBorders>
              <w:top w:val="nil"/>
              <w:left w:val="nil"/>
              <w:bottom w:val="nil"/>
              <w:right w:val="single" w:color="auto" w:sz="4" w:space="0"/>
            </w:tcBorders>
          </w:tcPr>
          <w:p w14:paraId="202B0164">
            <w:pPr>
              <w:tabs>
                <w:tab w:val="left" w:pos="360"/>
              </w:tabs>
              <w:jc w:val="both"/>
              <w:rPr>
                <w:rFonts w:ascii="Arial" w:hAnsi="Arial" w:cs="Arial"/>
                <w:bCs/>
                <w:sz w:val="18"/>
                <w:szCs w:val="18"/>
              </w:rPr>
            </w:pPr>
          </w:p>
        </w:tc>
        <w:tc>
          <w:tcPr>
            <w:tcW w:w="2100" w:type="dxa"/>
            <w:gridSpan w:val="3"/>
            <w:tcBorders>
              <w:left w:val="single" w:color="auto" w:sz="4" w:space="0"/>
            </w:tcBorders>
          </w:tcPr>
          <w:p w14:paraId="617104D7">
            <w:pPr>
              <w:tabs>
                <w:tab w:val="left" w:pos="360"/>
              </w:tabs>
              <w:jc w:val="both"/>
              <w:rPr>
                <w:rFonts w:hint="default" w:ascii="Arial" w:hAnsi="Arial" w:cs="Arial"/>
                <w:bCs/>
                <w:sz w:val="18"/>
                <w:szCs w:val="18"/>
                <w:lang w:val="en-GB"/>
              </w:rPr>
            </w:pPr>
            <w:r>
              <w:rPr>
                <w:rFonts w:hint="default" w:ascii="Arial" w:hAnsi="Arial" w:cs="Arial"/>
                <w:bCs/>
                <w:sz w:val="18"/>
                <w:szCs w:val="18"/>
                <w:lang w:val="en-GB"/>
              </w:rPr>
              <w:t xml:space="preserve">     N            E         P</w:t>
            </w:r>
          </w:p>
        </w:tc>
        <w:tc>
          <w:tcPr>
            <w:tcW w:w="654" w:type="dxa"/>
          </w:tcPr>
          <w:p w14:paraId="5B482C58">
            <w:pPr>
              <w:tabs>
                <w:tab w:val="left" w:pos="360"/>
              </w:tabs>
              <w:jc w:val="center"/>
              <w:rPr>
                <w:rFonts w:hint="default" w:ascii="Arial" w:hAnsi="Arial" w:cs="Arial"/>
                <w:sz w:val="18"/>
                <w:szCs w:val="18"/>
                <w:lang w:val="en-GB"/>
              </w:rPr>
            </w:pPr>
            <w:r>
              <w:rPr>
                <w:rFonts w:hint="default" w:ascii="Arial" w:hAnsi="Arial" w:cs="Arial"/>
                <w:sz w:val="18"/>
                <w:szCs w:val="18"/>
                <w:lang w:val="en-GB"/>
              </w:rPr>
              <w:t>Total</w:t>
            </w:r>
          </w:p>
        </w:tc>
      </w:tr>
      <w:tr w14:paraId="50E28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138" w:type="dxa"/>
            <w:vMerge w:val="restart"/>
            <w:tcBorders>
              <w:top w:val="single" w:color="auto" w:sz="4" w:space="0"/>
            </w:tcBorders>
          </w:tcPr>
          <w:p w14:paraId="5A3B4184">
            <w:pPr>
              <w:tabs>
                <w:tab w:val="left" w:pos="360"/>
              </w:tabs>
              <w:jc w:val="both"/>
              <w:rPr>
                <w:rFonts w:ascii="Arial" w:hAnsi="Arial" w:cs="Arial"/>
                <w:sz w:val="18"/>
                <w:szCs w:val="18"/>
              </w:rPr>
            </w:pPr>
          </w:p>
          <w:p w14:paraId="703C3C7D">
            <w:pPr>
              <w:tabs>
                <w:tab w:val="left" w:pos="360"/>
              </w:tabs>
              <w:jc w:val="both"/>
              <w:rPr>
                <w:rFonts w:hint="default" w:ascii="Arial" w:hAnsi="Arial" w:cs="Arial"/>
                <w:sz w:val="18"/>
                <w:szCs w:val="18"/>
                <w:lang w:val="en-GB"/>
              </w:rPr>
            </w:pPr>
            <w:r>
              <w:rPr>
                <w:rFonts w:hint="default" w:ascii="Arial" w:hAnsi="Arial" w:cs="Arial"/>
                <w:sz w:val="18"/>
                <w:szCs w:val="18"/>
                <w:lang w:val="en-GB"/>
              </w:rPr>
              <w:t>Rubella</w:t>
            </w:r>
          </w:p>
          <w:p w14:paraId="0A62520F">
            <w:pPr>
              <w:tabs>
                <w:tab w:val="left" w:pos="360"/>
              </w:tabs>
              <w:jc w:val="both"/>
              <w:rPr>
                <w:rFonts w:hint="default" w:ascii="Arial" w:hAnsi="Arial" w:cs="Arial"/>
                <w:sz w:val="18"/>
                <w:szCs w:val="18"/>
                <w:lang w:val="en-GB"/>
              </w:rPr>
            </w:pPr>
            <w:r>
              <w:rPr>
                <w:rFonts w:hint="default" w:ascii="Arial" w:hAnsi="Arial" w:cs="Arial"/>
                <w:sz w:val="18"/>
                <w:szCs w:val="18"/>
                <w:lang w:val="en-GB"/>
              </w:rPr>
              <w:t>IgG ELISA</w:t>
            </w:r>
          </w:p>
        </w:tc>
        <w:tc>
          <w:tcPr>
            <w:tcW w:w="687" w:type="dxa"/>
            <w:tcBorders>
              <w:top w:val="single" w:color="auto" w:sz="4" w:space="0"/>
            </w:tcBorders>
          </w:tcPr>
          <w:p w14:paraId="3DD2A64F">
            <w:pPr>
              <w:tabs>
                <w:tab w:val="left" w:pos="360"/>
              </w:tabs>
              <w:jc w:val="center"/>
              <w:rPr>
                <w:rFonts w:ascii="Arial" w:hAnsi="Arial" w:cs="Arial"/>
                <w:sz w:val="18"/>
                <w:szCs w:val="18"/>
              </w:rPr>
            </w:pPr>
            <w:r>
              <w:rPr>
                <w:rFonts w:ascii="Arial" w:hAnsi="Arial" w:cs="Arial"/>
                <w:sz w:val="18"/>
                <w:szCs w:val="18"/>
              </w:rPr>
              <w:t>N</w:t>
            </w:r>
          </w:p>
          <w:p w14:paraId="03DFB975">
            <w:pPr>
              <w:tabs>
                <w:tab w:val="left" w:pos="360"/>
              </w:tabs>
              <w:jc w:val="center"/>
              <w:rPr>
                <w:rFonts w:ascii="Arial" w:hAnsi="Arial" w:cs="Arial"/>
                <w:bCs/>
                <w:sz w:val="18"/>
                <w:szCs w:val="18"/>
              </w:rPr>
            </w:pPr>
            <w:r>
              <w:rPr>
                <w:rFonts w:ascii="Arial" w:hAnsi="Arial" w:cs="Arial"/>
                <w:sz w:val="18"/>
                <w:szCs w:val="18"/>
              </w:rPr>
              <w:t>E</w:t>
            </w:r>
          </w:p>
          <w:p w14:paraId="427966D5">
            <w:pPr>
              <w:tabs>
                <w:tab w:val="left" w:pos="360"/>
              </w:tabs>
              <w:jc w:val="center"/>
              <w:rPr>
                <w:rFonts w:ascii="Arial" w:hAnsi="Arial" w:cs="Arial"/>
                <w:bCs/>
                <w:sz w:val="18"/>
                <w:szCs w:val="18"/>
              </w:rPr>
            </w:pPr>
            <w:r>
              <w:rPr>
                <w:rFonts w:ascii="Arial" w:hAnsi="Arial" w:cs="Arial"/>
                <w:sz w:val="18"/>
                <w:szCs w:val="18"/>
              </w:rPr>
              <w:t>P</w:t>
            </w:r>
          </w:p>
        </w:tc>
        <w:tc>
          <w:tcPr>
            <w:tcW w:w="863" w:type="dxa"/>
          </w:tcPr>
          <w:p w14:paraId="3E079E57">
            <w:pPr>
              <w:tabs>
                <w:tab w:val="left" w:pos="360"/>
              </w:tabs>
              <w:jc w:val="center"/>
              <w:rPr>
                <w:rFonts w:ascii="Arial" w:hAnsi="Arial" w:cs="Arial"/>
                <w:sz w:val="18"/>
                <w:szCs w:val="18"/>
              </w:rPr>
            </w:pPr>
            <w:r>
              <w:rPr>
                <w:rFonts w:ascii="Arial" w:hAnsi="Arial" w:cs="Arial"/>
                <w:sz w:val="18"/>
                <w:szCs w:val="18"/>
              </w:rPr>
              <w:t>71 (D)</w:t>
            </w:r>
          </w:p>
          <w:p w14:paraId="5846A5E7">
            <w:pPr>
              <w:tabs>
                <w:tab w:val="left" w:pos="360"/>
              </w:tabs>
              <w:jc w:val="center"/>
              <w:rPr>
                <w:rFonts w:ascii="Arial" w:hAnsi="Arial" w:cs="Arial"/>
                <w:bCs/>
                <w:sz w:val="18"/>
                <w:szCs w:val="18"/>
              </w:rPr>
            </w:pPr>
            <w:r>
              <w:rPr>
                <w:rFonts w:ascii="Arial" w:hAnsi="Arial" w:cs="Arial"/>
                <w:sz w:val="18"/>
                <w:szCs w:val="18"/>
              </w:rPr>
              <w:t>0</w:t>
            </w:r>
          </w:p>
          <w:p w14:paraId="0C90382A">
            <w:pPr>
              <w:tabs>
                <w:tab w:val="left" w:pos="360"/>
              </w:tabs>
              <w:jc w:val="center"/>
              <w:rPr>
                <w:rFonts w:ascii="Arial" w:hAnsi="Arial" w:cs="Arial"/>
                <w:bCs/>
                <w:sz w:val="18"/>
                <w:szCs w:val="18"/>
              </w:rPr>
            </w:pPr>
            <w:r>
              <w:rPr>
                <w:rFonts w:ascii="Arial" w:hAnsi="Arial" w:cs="Arial"/>
                <w:sz w:val="18"/>
                <w:szCs w:val="18"/>
              </w:rPr>
              <w:t>0 (C)</w:t>
            </w:r>
          </w:p>
        </w:tc>
        <w:tc>
          <w:tcPr>
            <w:tcW w:w="512" w:type="dxa"/>
          </w:tcPr>
          <w:p w14:paraId="1B054DC6">
            <w:pPr>
              <w:tabs>
                <w:tab w:val="left" w:pos="360"/>
              </w:tabs>
              <w:jc w:val="center"/>
              <w:rPr>
                <w:rFonts w:ascii="Arial" w:hAnsi="Arial" w:cs="Arial"/>
                <w:sz w:val="18"/>
                <w:szCs w:val="18"/>
              </w:rPr>
            </w:pPr>
            <w:r>
              <w:rPr>
                <w:rFonts w:ascii="Arial" w:hAnsi="Arial" w:cs="Arial"/>
                <w:sz w:val="18"/>
                <w:szCs w:val="18"/>
              </w:rPr>
              <w:t>0</w:t>
            </w:r>
          </w:p>
          <w:p w14:paraId="41328D6C">
            <w:pPr>
              <w:tabs>
                <w:tab w:val="left" w:pos="360"/>
              </w:tabs>
              <w:jc w:val="center"/>
              <w:rPr>
                <w:rFonts w:ascii="Arial" w:hAnsi="Arial" w:cs="Arial"/>
                <w:bCs/>
                <w:sz w:val="18"/>
                <w:szCs w:val="18"/>
              </w:rPr>
            </w:pPr>
            <w:r>
              <w:rPr>
                <w:rFonts w:ascii="Arial" w:hAnsi="Arial" w:cs="Arial"/>
                <w:sz w:val="18"/>
                <w:szCs w:val="18"/>
              </w:rPr>
              <w:t>3</w:t>
            </w:r>
          </w:p>
          <w:p w14:paraId="0A4E6D38">
            <w:pPr>
              <w:tabs>
                <w:tab w:val="left" w:pos="360"/>
              </w:tabs>
              <w:jc w:val="center"/>
              <w:rPr>
                <w:rFonts w:ascii="Arial" w:hAnsi="Arial" w:cs="Arial"/>
                <w:bCs/>
                <w:sz w:val="18"/>
                <w:szCs w:val="18"/>
              </w:rPr>
            </w:pPr>
            <w:r>
              <w:rPr>
                <w:rFonts w:ascii="Arial" w:hAnsi="Arial" w:cs="Arial"/>
                <w:sz w:val="18"/>
                <w:szCs w:val="18"/>
              </w:rPr>
              <w:t>1</w:t>
            </w:r>
          </w:p>
        </w:tc>
        <w:tc>
          <w:tcPr>
            <w:tcW w:w="725" w:type="dxa"/>
          </w:tcPr>
          <w:p w14:paraId="58F6DE97">
            <w:pPr>
              <w:tabs>
                <w:tab w:val="left" w:pos="360"/>
              </w:tabs>
              <w:jc w:val="center"/>
              <w:rPr>
                <w:rFonts w:ascii="Arial" w:hAnsi="Arial" w:cs="Arial"/>
                <w:sz w:val="18"/>
                <w:szCs w:val="18"/>
              </w:rPr>
            </w:pPr>
            <w:r>
              <w:rPr>
                <w:rFonts w:ascii="Arial" w:hAnsi="Arial" w:cs="Arial"/>
                <w:sz w:val="18"/>
                <w:szCs w:val="18"/>
              </w:rPr>
              <w:t>0 (B)</w:t>
            </w:r>
          </w:p>
          <w:p w14:paraId="53109D23">
            <w:pPr>
              <w:tabs>
                <w:tab w:val="left" w:pos="360"/>
              </w:tabs>
              <w:jc w:val="center"/>
              <w:rPr>
                <w:rFonts w:ascii="Arial" w:hAnsi="Arial" w:cs="Arial"/>
                <w:bCs/>
                <w:sz w:val="18"/>
                <w:szCs w:val="18"/>
              </w:rPr>
            </w:pPr>
            <w:r>
              <w:rPr>
                <w:rFonts w:ascii="Arial" w:hAnsi="Arial" w:cs="Arial"/>
                <w:sz w:val="18"/>
                <w:szCs w:val="18"/>
              </w:rPr>
              <w:t>0</w:t>
            </w:r>
          </w:p>
          <w:p w14:paraId="5E0343BA">
            <w:pPr>
              <w:tabs>
                <w:tab w:val="left" w:pos="360"/>
              </w:tabs>
              <w:jc w:val="center"/>
              <w:rPr>
                <w:rFonts w:ascii="Arial" w:hAnsi="Arial" w:cs="Arial"/>
                <w:bCs/>
                <w:sz w:val="18"/>
                <w:szCs w:val="18"/>
              </w:rPr>
            </w:pPr>
            <w:r>
              <w:rPr>
                <w:rFonts w:ascii="Arial" w:hAnsi="Arial" w:cs="Arial"/>
                <w:sz w:val="18"/>
                <w:szCs w:val="18"/>
              </w:rPr>
              <w:t>41(A)</w:t>
            </w:r>
          </w:p>
        </w:tc>
        <w:tc>
          <w:tcPr>
            <w:tcW w:w="654" w:type="dxa"/>
            <w:tcBorders/>
          </w:tcPr>
          <w:p w14:paraId="32979121">
            <w:pPr>
              <w:tabs>
                <w:tab w:val="left" w:pos="360"/>
              </w:tabs>
              <w:jc w:val="center"/>
              <w:rPr>
                <w:rFonts w:hint="default" w:ascii="Arial" w:hAnsi="Arial" w:cs="Arial"/>
                <w:sz w:val="18"/>
                <w:szCs w:val="18"/>
                <w:lang w:val="en-GB"/>
              </w:rPr>
            </w:pPr>
            <w:r>
              <w:rPr>
                <w:rFonts w:hint="default" w:ascii="Arial" w:hAnsi="Arial" w:cs="Arial"/>
                <w:sz w:val="18"/>
                <w:szCs w:val="18"/>
                <w:lang w:val="en-GB"/>
              </w:rPr>
              <w:t>71</w:t>
            </w:r>
          </w:p>
          <w:p w14:paraId="3E5D20F4">
            <w:pPr>
              <w:tabs>
                <w:tab w:val="left" w:pos="360"/>
              </w:tabs>
              <w:jc w:val="center"/>
              <w:rPr>
                <w:rFonts w:hint="default" w:ascii="Arial" w:hAnsi="Arial" w:cs="Arial"/>
                <w:sz w:val="18"/>
                <w:szCs w:val="18"/>
                <w:lang w:val="en-GB"/>
              </w:rPr>
            </w:pPr>
            <w:r>
              <w:rPr>
                <w:rFonts w:hint="default" w:ascii="Arial" w:hAnsi="Arial" w:cs="Arial"/>
                <w:sz w:val="18"/>
                <w:szCs w:val="18"/>
                <w:lang w:val="en-GB"/>
              </w:rPr>
              <w:t>4</w:t>
            </w:r>
          </w:p>
          <w:p w14:paraId="50D985CD">
            <w:pPr>
              <w:tabs>
                <w:tab w:val="left" w:pos="360"/>
              </w:tabs>
              <w:jc w:val="center"/>
              <w:rPr>
                <w:rFonts w:hint="default" w:ascii="Arial" w:hAnsi="Arial" w:cs="Arial"/>
                <w:sz w:val="18"/>
                <w:szCs w:val="18"/>
                <w:lang w:val="en-GB"/>
              </w:rPr>
            </w:pPr>
            <w:r>
              <w:rPr>
                <w:rFonts w:hint="default" w:ascii="Arial" w:hAnsi="Arial" w:cs="Arial"/>
                <w:sz w:val="18"/>
                <w:szCs w:val="18"/>
                <w:lang w:val="en-GB"/>
              </w:rPr>
              <w:t>42</w:t>
            </w:r>
          </w:p>
        </w:tc>
      </w:tr>
      <w:tr w14:paraId="76A15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8" w:type="dxa"/>
            <w:vMerge w:val="continue"/>
          </w:tcPr>
          <w:p w14:paraId="2E253E9F">
            <w:pPr>
              <w:tabs>
                <w:tab w:val="left" w:pos="360"/>
              </w:tabs>
              <w:jc w:val="both"/>
              <w:rPr>
                <w:rFonts w:ascii="Arial" w:hAnsi="Arial" w:cs="Arial"/>
                <w:sz w:val="18"/>
                <w:szCs w:val="18"/>
              </w:rPr>
            </w:pPr>
          </w:p>
        </w:tc>
        <w:tc>
          <w:tcPr>
            <w:tcW w:w="687" w:type="dxa"/>
          </w:tcPr>
          <w:p w14:paraId="1FB9B54C">
            <w:pPr>
              <w:tabs>
                <w:tab w:val="left" w:pos="360"/>
              </w:tabs>
              <w:jc w:val="center"/>
              <w:rPr>
                <w:rFonts w:ascii="Arial" w:hAnsi="Arial" w:cs="Arial"/>
                <w:bCs/>
                <w:sz w:val="18"/>
                <w:szCs w:val="18"/>
              </w:rPr>
            </w:pPr>
            <w:r>
              <w:rPr>
                <w:rFonts w:ascii="Arial" w:hAnsi="Arial" w:cs="Arial"/>
                <w:sz w:val="18"/>
                <w:szCs w:val="18"/>
              </w:rPr>
              <w:t>Total</w:t>
            </w:r>
          </w:p>
        </w:tc>
        <w:tc>
          <w:tcPr>
            <w:tcW w:w="863" w:type="dxa"/>
          </w:tcPr>
          <w:p w14:paraId="2DE2EF21">
            <w:pPr>
              <w:tabs>
                <w:tab w:val="left" w:pos="360"/>
              </w:tabs>
              <w:jc w:val="center"/>
              <w:rPr>
                <w:rFonts w:ascii="Arial" w:hAnsi="Arial" w:cs="Arial"/>
                <w:bCs/>
                <w:sz w:val="18"/>
                <w:szCs w:val="18"/>
              </w:rPr>
            </w:pPr>
            <w:r>
              <w:rPr>
                <w:rFonts w:ascii="Arial" w:hAnsi="Arial" w:cs="Arial"/>
                <w:sz w:val="18"/>
                <w:szCs w:val="18"/>
              </w:rPr>
              <w:t>71</w:t>
            </w:r>
          </w:p>
        </w:tc>
        <w:tc>
          <w:tcPr>
            <w:tcW w:w="512" w:type="dxa"/>
          </w:tcPr>
          <w:p w14:paraId="316C4C37">
            <w:pPr>
              <w:tabs>
                <w:tab w:val="left" w:pos="360"/>
              </w:tabs>
              <w:jc w:val="center"/>
              <w:rPr>
                <w:rFonts w:ascii="Arial" w:hAnsi="Arial" w:cs="Arial"/>
                <w:bCs/>
                <w:sz w:val="18"/>
                <w:szCs w:val="18"/>
              </w:rPr>
            </w:pPr>
            <w:r>
              <w:rPr>
                <w:rFonts w:ascii="Arial" w:hAnsi="Arial" w:cs="Arial"/>
                <w:sz w:val="18"/>
                <w:szCs w:val="18"/>
              </w:rPr>
              <w:t>4</w:t>
            </w:r>
          </w:p>
        </w:tc>
        <w:tc>
          <w:tcPr>
            <w:tcW w:w="725" w:type="dxa"/>
          </w:tcPr>
          <w:p w14:paraId="239D2451">
            <w:pPr>
              <w:tabs>
                <w:tab w:val="left" w:pos="360"/>
              </w:tabs>
              <w:jc w:val="center"/>
              <w:rPr>
                <w:rFonts w:ascii="Arial" w:hAnsi="Arial" w:cs="Arial"/>
                <w:bCs/>
                <w:sz w:val="18"/>
                <w:szCs w:val="18"/>
              </w:rPr>
            </w:pPr>
            <w:r>
              <w:rPr>
                <w:rFonts w:ascii="Arial" w:hAnsi="Arial" w:cs="Arial"/>
                <w:sz w:val="18"/>
                <w:szCs w:val="18"/>
              </w:rPr>
              <w:t>41</w:t>
            </w:r>
          </w:p>
        </w:tc>
        <w:tc>
          <w:tcPr>
            <w:tcW w:w="654" w:type="dxa"/>
          </w:tcPr>
          <w:p w14:paraId="107F059E">
            <w:pPr>
              <w:tabs>
                <w:tab w:val="left" w:pos="360"/>
              </w:tabs>
              <w:jc w:val="center"/>
              <w:rPr>
                <w:rFonts w:hint="default" w:ascii="Arial" w:hAnsi="Arial" w:cs="Arial"/>
                <w:sz w:val="18"/>
                <w:szCs w:val="18"/>
                <w:lang w:val="en-GB"/>
              </w:rPr>
            </w:pPr>
            <w:r>
              <w:rPr>
                <w:rFonts w:hint="default" w:ascii="Arial" w:hAnsi="Arial" w:cs="Arial"/>
                <w:sz w:val="18"/>
                <w:szCs w:val="18"/>
                <w:lang w:val="en-GB"/>
              </w:rPr>
              <w:t>117</w:t>
            </w:r>
          </w:p>
        </w:tc>
      </w:tr>
    </w:tbl>
    <w:p w14:paraId="34A2B987">
      <w:pPr>
        <w:tabs>
          <w:tab w:val="left" w:pos="360"/>
        </w:tabs>
        <w:jc w:val="both"/>
        <w:rPr>
          <w:rFonts w:ascii="Arial" w:hAnsi="Arial" w:cs="Arial"/>
          <w:bCs/>
          <w:sz w:val="18"/>
          <w:szCs w:val="18"/>
        </w:rPr>
      </w:pPr>
    </w:p>
    <w:p w14:paraId="026290EA">
      <w:pPr>
        <w:tabs>
          <w:tab w:val="left" w:pos="360"/>
        </w:tabs>
        <w:jc w:val="both"/>
        <w:rPr>
          <w:rFonts w:ascii="Arial" w:hAnsi="Arial" w:cs="Arial"/>
          <w:bCs/>
          <w:sz w:val="18"/>
          <w:szCs w:val="18"/>
        </w:rPr>
      </w:pPr>
    </w:p>
    <w:p w14:paraId="38542540">
      <w:pPr>
        <w:tabs>
          <w:tab w:val="left" w:pos="360"/>
        </w:tabs>
        <w:jc w:val="both"/>
        <w:rPr>
          <w:rFonts w:ascii="Arial" w:hAnsi="Arial" w:cs="Arial"/>
          <w:bCs/>
          <w:sz w:val="18"/>
          <w:szCs w:val="18"/>
        </w:rPr>
      </w:pPr>
      <w:r>
        <w:rPr>
          <w:rFonts w:ascii="Arial" w:hAnsi="Arial" w:cs="Arial"/>
          <w:bCs/>
          <w:sz w:val="18"/>
          <w:szCs w:val="18"/>
        </w:rPr>
        <w:t>Sensitivity = 100%</w:t>
      </w:r>
    </w:p>
    <w:p w14:paraId="0F25C864">
      <w:pPr>
        <w:tabs>
          <w:tab w:val="left" w:pos="360"/>
        </w:tabs>
        <w:jc w:val="both"/>
        <w:rPr>
          <w:rFonts w:ascii="Arial" w:hAnsi="Arial" w:cs="Arial"/>
          <w:bCs/>
          <w:sz w:val="18"/>
          <w:szCs w:val="18"/>
        </w:rPr>
      </w:pPr>
      <w:r>
        <w:rPr>
          <w:rFonts w:ascii="Arial" w:hAnsi="Arial" w:cs="Arial"/>
          <w:bCs/>
          <w:sz w:val="18"/>
          <w:szCs w:val="18"/>
        </w:rPr>
        <w:t>Specificity = 100%</w:t>
      </w:r>
    </w:p>
    <w:p w14:paraId="7BFBB1BA">
      <w:pPr>
        <w:tabs>
          <w:tab w:val="left" w:pos="360"/>
        </w:tabs>
        <w:jc w:val="both"/>
        <w:rPr>
          <w:rFonts w:ascii="Arial" w:hAnsi="Arial" w:cs="Arial"/>
          <w:bCs/>
          <w:sz w:val="18"/>
          <w:szCs w:val="18"/>
        </w:rPr>
      </w:pPr>
      <w:r>
        <w:rPr>
          <w:rFonts w:ascii="Arial" w:hAnsi="Arial" w:cs="Arial"/>
          <w:bCs/>
          <w:sz w:val="18"/>
          <w:szCs w:val="18"/>
        </w:rPr>
        <w:t>Accuracy = 100%</w:t>
      </w:r>
    </w:p>
    <w:p w14:paraId="186F54D8">
      <w:pPr>
        <w:tabs>
          <w:tab w:val="left" w:pos="360"/>
        </w:tabs>
        <w:jc w:val="both"/>
        <w:rPr>
          <w:rFonts w:ascii="Arial" w:hAnsi="Arial" w:cs="Arial"/>
          <w:bCs/>
          <w:sz w:val="18"/>
          <w:szCs w:val="18"/>
        </w:rPr>
      </w:pPr>
    </w:p>
    <w:p w14:paraId="7EC1B398">
      <w:pPr>
        <w:ind w:left="360" w:hanging="360"/>
        <w:jc w:val="both"/>
        <w:rPr>
          <w:rFonts w:ascii="Arial" w:hAnsi="Arial" w:cs="Arial"/>
          <w:bCs/>
          <w:sz w:val="18"/>
          <w:szCs w:val="18"/>
        </w:rPr>
      </w:pPr>
      <w:r>
        <w:rPr>
          <w:rFonts w:ascii="Arial" w:hAnsi="Arial" w:cs="Arial"/>
          <w:bCs/>
          <w:sz w:val="18"/>
          <w:szCs w:val="18"/>
        </w:rPr>
        <w:t>IMPORTANT NOTE</w:t>
      </w:r>
    </w:p>
    <w:p w14:paraId="6813DB3B">
      <w:pPr>
        <w:pStyle w:val="13"/>
        <w:numPr>
          <w:ilvl w:val="1"/>
          <w:numId w:val="2"/>
        </w:numPr>
        <w:tabs>
          <w:tab w:val="left" w:pos="360"/>
        </w:tabs>
        <w:ind w:left="284" w:hanging="284"/>
        <w:jc w:val="both"/>
        <w:rPr>
          <w:rFonts w:ascii="Arial" w:hAnsi="Arial" w:cs="Arial"/>
          <w:bCs/>
          <w:sz w:val="18"/>
          <w:szCs w:val="18"/>
        </w:rPr>
      </w:pPr>
      <w:r>
        <w:rPr>
          <w:rFonts w:ascii="Arial" w:hAnsi="Arial" w:cs="Arial"/>
          <w:bCs/>
          <w:sz w:val="18"/>
          <w:szCs w:val="18"/>
        </w:rPr>
        <w:t>This assay is a temperature sensitive assay. The best temperature condition for this assay is 37°C.</w:t>
      </w:r>
    </w:p>
    <w:p w14:paraId="5CCE60F1">
      <w:pPr>
        <w:pStyle w:val="13"/>
        <w:numPr>
          <w:ilvl w:val="1"/>
          <w:numId w:val="2"/>
        </w:numPr>
        <w:tabs>
          <w:tab w:val="left" w:pos="360"/>
        </w:tabs>
        <w:ind w:left="284" w:leftChars="0" w:hanging="284" w:firstLineChars="0"/>
        <w:jc w:val="both"/>
        <w:rPr>
          <w:rFonts w:ascii="Arial" w:hAnsi="Arial" w:cs="Arial"/>
          <w:bCs/>
          <w:sz w:val="18"/>
          <w:szCs w:val="18"/>
        </w:rPr>
      </w:pPr>
      <w:r>
        <w:rPr>
          <w:rFonts w:ascii="Arial" w:hAnsi="Arial" w:cs="Arial"/>
          <w:bCs/>
          <w:sz w:val="18"/>
          <w:szCs w:val="18"/>
        </w:rPr>
        <w:t>The wash procedure is critical. Insufficient washing will result in poor precision and falsely elevated absorbance readings.</w:t>
      </w:r>
      <w:bookmarkStart w:id="0" w:name="_GoBack"/>
      <w:bookmarkEnd w:id="0"/>
    </w:p>
    <w:p w14:paraId="7469D6B6">
      <w:pPr>
        <w:pStyle w:val="13"/>
        <w:numPr>
          <w:ilvl w:val="1"/>
          <w:numId w:val="2"/>
        </w:numPr>
        <w:tabs>
          <w:tab w:val="left" w:pos="360"/>
        </w:tabs>
        <w:ind w:left="993" w:hanging="567"/>
        <w:jc w:val="both"/>
        <w:rPr>
          <w:rFonts w:ascii="Arial" w:hAnsi="Arial" w:cs="Arial"/>
          <w:bCs/>
          <w:sz w:val="18"/>
          <w:szCs w:val="18"/>
        </w:rPr>
      </w:pPr>
      <w:r>
        <w:rPr>
          <w:rFonts w:ascii="Arial" w:hAnsi="Arial" w:cs="Arial"/>
          <w:bCs/>
          <w:sz w:val="18"/>
          <w:szCs w:val="18"/>
        </w:rPr>
        <w:t>It is recommended to use the multi channel pipettes to avoid time effect. A full plate of 96 wells may be used if automated pipetting is available.</w:t>
      </w:r>
    </w:p>
    <w:p w14:paraId="1B5F0A2B">
      <w:pPr>
        <w:pStyle w:val="13"/>
        <w:numPr>
          <w:ilvl w:val="1"/>
          <w:numId w:val="2"/>
        </w:numPr>
        <w:tabs>
          <w:tab w:val="left" w:pos="360"/>
        </w:tabs>
        <w:ind w:left="993" w:hanging="567"/>
        <w:jc w:val="both"/>
        <w:rPr>
          <w:rFonts w:ascii="Arial" w:hAnsi="Arial" w:cs="Arial"/>
          <w:bCs/>
          <w:sz w:val="18"/>
          <w:szCs w:val="18"/>
        </w:rPr>
      </w:pPr>
      <w:r>
        <w:rPr>
          <w:rFonts w:ascii="Arial" w:hAnsi="Arial" w:cs="Arial"/>
          <w:bCs/>
          <w:sz w:val="18"/>
          <w:szCs w:val="18"/>
        </w:rPr>
        <w:t>Duplication of Calibrators &amp; samples is not mandatory but may provide information on reproducibility &amp; application errors.</w:t>
      </w:r>
    </w:p>
    <w:p w14:paraId="2815C573">
      <w:pPr>
        <w:tabs>
          <w:tab w:val="left" w:pos="360"/>
        </w:tabs>
        <w:ind w:left="360"/>
        <w:jc w:val="both"/>
        <w:rPr>
          <w:rFonts w:ascii="Arial" w:hAnsi="Arial" w:cs="Arial"/>
          <w:bCs/>
          <w:sz w:val="18"/>
          <w:szCs w:val="18"/>
        </w:rPr>
      </w:pPr>
    </w:p>
    <w:p w14:paraId="66449E99">
      <w:pPr>
        <w:tabs>
          <w:tab w:val="left" w:pos="360"/>
        </w:tabs>
        <w:ind w:left="360"/>
        <w:jc w:val="both"/>
        <w:rPr>
          <w:rFonts w:ascii="Arial" w:hAnsi="Arial" w:cs="Arial"/>
          <w:bCs/>
          <w:sz w:val="18"/>
          <w:szCs w:val="18"/>
        </w:rPr>
      </w:pPr>
      <w:r>
        <w:rPr>
          <w:rFonts w:ascii="Arial" w:hAnsi="Arial" w:cs="Arial"/>
          <w:bCs/>
          <w:sz w:val="18"/>
          <w:szCs w:val="18"/>
        </w:rPr>
        <w:t>LIMITATIONS OF THE ASSAY</w:t>
      </w:r>
    </w:p>
    <w:p w14:paraId="71853AE8">
      <w:pPr>
        <w:pStyle w:val="13"/>
        <w:numPr>
          <w:ilvl w:val="0"/>
          <w:numId w:val="8"/>
        </w:numPr>
        <w:tabs>
          <w:tab w:val="left" w:pos="360"/>
        </w:tabs>
        <w:ind w:left="993" w:hanging="567"/>
        <w:jc w:val="both"/>
        <w:rPr>
          <w:rFonts w:ascii="Arial" w:hAnsi="Arial" w:cs="Arial"/>
          <w:bCs/>
          <w:sz w:val="18"/>
          <w:szCs w:val="18"/>
        </w:rPr>
      </w:pPr>
      <w:r>
        <w:rPr>
          <w:rFonts w:ascii="Arial" w:hAnsi="Arial" w:cs="Arial"/>
          <w:bCs/>
          <w:sz w:val="18"/>
          <w:szCs w:val="18"/>
        </w:rPr>
        <w:t>A single serum sample cannot be used to determine recent infection.</w:t>
      </w:r>
    </w:p>
    <w:p w14:paraId="1F31C2A1">
      <w:pPr>
        <w:pStyle w:val="13"/>
        <w:numPr>
          <w:ilvl w:val="0"/>
          <w:numId w:val="8"/>
        </w:numPr>
        <w:tabs>
          <w:tab w:val="left" w:pos="360"/>
        </w:tabs>
        <w:ind w:left="993" w:hanging="567"/>
        <w:jc w:val="both"/>
        <w:rPr>
          <w:rFonts w:ascii="Arial" w:hAnsi="Arial" w:cs="Arial"/>
          <w:bCs/>
          <w:sz w:val="18"/>
          <w:szCs w:val="18"/>
        </w:rPr>
      </w:pPr>
      <w:r>
        <w:rPr>
          <w:rFonts w:ascii="Arial" w:hAnsi="Arial" w:cs="Arial"/>
          <w:bCs/>
          <w:sz w:val="18"/>
          <w:szCs w:val="18"/>
        </w:rPr>
        <w:t>A serum specimen taken in an early stage during acute phase of infection may contain low levels of IgG antibody and render a Rubella G Index result negative.</w:t>
      </w:r>
    </w:p>
    <w:p w14:paraId="53046724">
      <w:pPr>
        <w:pStyle w:val="13"/>
        <w:numPr>
          <w:ilvl w:val="0"/>
          <w:numId w:val="8"/>
        </w:numPr>
        <w:tabs>
          <w:tab w:val="left" w:pos="360"/>
        </w:tabs>
        <w:ind w:left="993" w:hanging="567"/>
        <w:jc w:val="both"/>
        <w:rPr>
          <w:rFonts w:ascii="Arial" w:hAnsi="Arial" w:cs="Arial"/>
          <w:bCs/>
          <w:sz w:val="18"/>
          <w:szCs w:val="18"/>
        </w:rPr>
      </w:pPr>
      <w:r>
        <w:rPr>
          <w:rFonts w:ascii="Arial" w:hAnsi="Arial" w:cs="Arial"/>
          <w:bCs/>
          <w:sz w:val="18"/>
          <w:szCs w:val="18"/>
        </w:rPr>
        <w:t>As with other serological assays, the results of these assays should be used in conjunction with information available from clinical evaluation and other diagnostic procedures.</w:t>
      </w:r>
    </w:p>
    <w:p w14:paraId="6AF5A2F2">
      <w:pPr>
        <w:tabs>
          <w:tab w:val="left" w:pos="360"/>
        </w:tabs>
        <w:ind w:left="360"/>
        <w:jc w:val="both"/>
        <w:rPr>
          <w:rFonts w:ascii="Arial" w:hAnsi="Arial" w:cs="Arial"/>
          <w:bCs/>
          <w:sz w:val="18"/>
          <w:szCs w:val="18"/>
        </w:rPr>
      </w:pPr>
    </w:p>
    <w:p w14:paraId="6C791A11">
      <w:pPr>
        <w:tabs>
          <w:tab w:val="left" w:pos="360"/>
        </w:tabs>
        <w:ind w:left="360"/>
        <w:jc w:val="both"/>
        <w:rPr>
          <w:rFonts w:ascii="Arial" w:hAnsi="Arial" w:cs="Arial"/>
          <w:bCs/>
          <w:sz w:val="18"/>
          <w:szCs w:val="18"/>
        </w:rPr>
      </w:pPr>
      <w:r>
        <w:rPr>
          <w:rFonts w:ascii="Arial" w:hAnsi="Arial" w:cs="Arial"/>
          <w:bCs/>
          <w:sz w:val="18"/>
          <w:szCs w:val="18"/>
        </w:rPr>
        <w:t>BIBLIOGRAPHY</w:t>
      </w:r>
    </w:p>
    <w:p w14:paraId="7CE9FDA0">
      <w:pPr>
        <w:pStyle w:val="13"/>
        <w:numPr>
          <w:ilvl w:val="0"/>
          <w:numId w:val="9"/>
        </w:numPr>
        <w:tabs>
          <w:tab w:val="left" w:pos="360"/>
        </w:tabs>
        <w:ind w:left="993" w:hanging="633"/>
        <w:jc w:val="both"/>
        <w:rPr>
          <w:rFonts w:ascii="Arial" w:hAnsi="Arial" w:cs="Arial"/>
          <w:bCs/>
          <w:sz w:val="18"/>
          <w:szCs w:val="18"/>
        </w:rPr>
      </w:pPr>
      <w:r>
        <w:rPr>
          <w:rFonts w:ascii="Arial" w:hAnsi="Arial" w:cs="Arial"/>
          <w:bCs/>
          <w:sz w:val="18"/>
          <w:szCs w:val="18"/>
        </w:rPr>
        <w:t>Gravell, M., P.H. Dorcett,   O. Gutenson,   and A.C. Ley.  Detection of antibody to rubella virus by enzyme-linked immunosorbent assay.  J. Infect. Dis.  136:S300, 1977.</w:t>
      </w:r>
    </w:p>
    <w:p w14:paraId="37B3E247">
      <w:pPr>
        <w:pStyle w:val="13"/>
        <w:numPr>
          <w:ilvl w:val="0"/>
          <w:numId w:val="9"/>
        </w:numPr>
        <w:tabs>
          <w:tab w:val="left" w:pos="360"/>
        </w:tabs>
        <w:ind w:left="993" w:hanging="633"/>
        <w:jc w:val="both"/>
        <w:rPr>
          <w:rFonts w:ascii="Arial" w:hAnsi="Arial" w:cs="Arial"/>
          <w:bCs/>
          <w:sz w:val="18"/>
          <w:szCs w:val="18"/>
        </w:rPr>
      </w:pPr>
      <w:r>
        <w:rPr>
          <w:rFonts w:ascii="Arial" w:hAnsi="Arial" w:cs="Arial"/>
          <w:bCs/>
          <w:sz w:val="18"/>
          <w:szCs w:val="18"/>
        </w:rPr>
        <w:t>Hermann, K.L. Rubella virus. Manual of Clinical Microbiology, 3rd Edition.  Lennette, Balows, Hausler, Truant (ed).  Chapt. 86:862, 1980.</w:t>
      </w:r>
    </w:p>
    <w:p w14:paraId="0AFCA114">
      <w:pPr>
        <w:pStyle w:val="13"/>
        <w:numPr>
          <w:ilvl w:val="0"/>
          <w:numId w:val="9"/>
        </w:numPr>
        <w:tabs>
          <w:tab w:val="left" w:pos="360"/>
        </w:tabs>
        <w:ind w:left="993" w:hanging="633"/>
        <w:jc w:val="both"/>
        <w:rPr>
          <w:rFonts w:ascii="Arial" w:hAnsi="Arial" w:cs="Arial"/>
          <w:bCs/>
          <w:sz w:val="18"/>
          <w:szCs w:val="18"/>
        </w:rPr>
      </w:pPr>
      <w:r>
        <w:rPr>
          <w:rFonts w:ascii="Arial" w:hAnsi="Arial" w:cs="Arial"/>
          <w:bCs/>
          <w:sz w:val="18"/>
          <w:szCs w:val="18"/>
        </w:rPr>
        <w:t>Katz, S.L. Rubella (German measles).  Zinssmer Microbiology, 18th Edition. Jolik, Willett, Amos (ed).  Chapt. 75:1067, 1985.</w:t>
      </w:r>
    </w:p>
    <w:p w14:paraId="46C3C14B">
      <w:pPr>
        <w:pStyle w:val="13"/>
        <w:numPr>
          <w:ilvl w:val="0"/>
          <w:numId w:val="9"/>
        </w:numPr>
        <w:tabs>
          <w:tab w:val="left" w:pos="360"/>
        </w:tabs>
        <w:ind w:left="993" w:hanging="633"/>
        <w:jc w:val="both"/>
      </w:pPr>
      <w:r>
        <w:rPr>
          <w:rFonts w:ascii="Arial" w:hAnsi="Arial" w:cs="Arial"/>
          <w:bCs/>
          <w:sz w:val="18"/>
          <w:szCs w:val="18"/>
        </w:rPr>
        <w:t>Data on file: Orchid Biomedical Systems (P) Ltd..</w:t>
      </w:r>
    </w:p>
    <w:p w14:paraId="00B1AC96">
      <w:pPr>
        <w:tabs>
          <w:tab w:val="left" w:pos="360"/>
        </w:tabs>
        <w:jc w:val="both"/>
      </w:pPr>
    </w:p>
    <w:p w14:paraId="094E611B">
      <w:pPr>
        <w:tabs>
          <w:tab w:val="left" w:pos="360"/>
        </w:tabs>
      </w:pPr>
      <w:r>
        <w:object>
          <v:shape id="_x0000_i1026" o:spt="75" type="#_x0000_t75" style="height:160.5pt;width:189.8pt;" o:ole="t" filled="f" o:preferrelative="t" stroked="f" coordsize="21600,21600">
            <v:path/>
            <v:fill on="f" focussize="0,0"/>
            <v:stroke on="f" joinstyle="miter"/>
            <v:imagedata r:id="rId13" o:title=""/>
            <o:lock v:ext="edit" aspectratio="t"/>
            <w10:wrap type="none"/>
            <w10:anchorlock/>
          </v:shape>
          <o:OLEObject Type="Embed" ProgID="CorelDraw.Graphic.23" ShapeID="_x0000_i1026" DrawAspect="Content" ObjectID="_1468075726" r:id="rId12">
            <o:LockedField>false</o:LockedField>
          </o:OLEObject>
        </w:object>
      </w:r>
    </w:p>
    <w:p w14:paraId="1EF00F9E">
      <w:pPr>
        <w:tabs>
          <w:tab w:val="left" w:pos="360"/>
        </w:tabs>
        <w:jc w:val="center"/>
      </w:pPr>
    </w:p>
    <w:p w14:paraId="56046B8C">
      <w:pPr>
        <w:tabs>
          <w:tab w:val="left" w:pos="360"/>
        </w:tabs>
        <w:jc w:val="center"/>
        <w:rPr>
          <w:rFonts w:ascii="Arial" w:hAnsi="Arial" w:cs="Arial"/>
          <w:i/>
          <w:sz w:val="14"/>
          <w:szCs w:val="18"/>
        </w:rPr>
      </w:pPr>
      <w:r>
        <w:object>
          <v:shape id="_x0000_i1027" o:spt="75" type="#_x0000_t75" style="height:55.5pt;width:192.1pt;" o:ole="t" filled="f" o:preferrelative="t" stroked="f" coordsize="21600,21600">
            <v:path/>
            <v:fill on="f" focussize="0,0"/>
            <v:stroke on="f" joinstyle="miter"/>
            <v:imagedata r:id="rId15" o:title=""/>
            <o:lock v:ext="edit" aspectratio="t"/>
            <w10:wrap type="none"/>
            <w10:anchorlock/>
          </v:shape>
          <o:OLEObject Type="Embed" ProgID="CorelDraw.Graphic.23" ShapeID="_x0000_i1027" DrawAspect="Content" ObjectID="_1468075727" r:id="rId14">
            <o:LockedField>false</o:LockedField>
          </o:OLEObject>
        </w:object>
      </w:r>
    </w:p>
    <w:sectPr>
      <w:headerReference r:id="rId5" w:type="first"/>
      <w:footerReference r:id="rId8" w:type="first"/>
      <w:headerReference r:id="rId3" w:type="default"/>
      <w:footerReference r:id="rId6" w:type="default"/>
      <w:headerReference r:id="rId4" w:type="even"/>
      <w:footerReference r:id="rId7" w:type="even"/>
      <w:pgSz w:w="15840" w:h="12240" w:orient="landscape"/>
      <w:pgMar w:top="864" w:right="720" w:bottom="864" w:left="720" w:header="432" w:footer="432" w:gutter="0"/>
      <w:cols w:equalWidth="0" w:num="3">
        <w:col w:w="4560" w:space="720"/>
        <w:col w:w="3840" w:space="720"/>
        <w:col w:w="45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Bookman Old Style">
    <w:altName w:val="Segoe Print"/>
    <w:panose1 w:val="02050604050505020204"/>
    <w:charset w:val="00"/>
    <w:family w:val="roman"/>
    <w:pitch w:val="default"/>
    <w:sig w:usb0="00000000"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08FB7F">
    <w:pPr>
      <w:pStyle w:val="9"/>
      <w:jc w:val="center"/>
    </w:pPr>
    <w:r>
      <w:t xml:space="preserve">Page </w:t>
    </w:r>
    <w:r>
      <w:fldChar w:fldCharType="begin"/>
    </w:r>
    <w:r>
      <w:instrText xml:space="preserve">PAGE</w:instrText>
    </w:r>
    <w:r>
      <w:fldChar w:fldCharType="separate"/>
    </w:r>
    <w: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3F308">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B248B">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D66F1">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47D653">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63EC5">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DE5CA2"/>
    <w:multiLevelType w:val="multilevel"/>
    <w:tmpl w:val="01DE5CA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6BE485E"/>
    <w:multiLevelType w:val="multilevel"/>
    <w:tmpl w:val="06BE485E"/>
    <w:lvl w:ilvl="0" w:tentative="0">
      <w:start w:val="1"/>
      <w:numFmt w:val="decimal"/>
      <w:lvlText w:val="%1."/>
      <w:lvlJc w:val="left"/>
      <w:pPr>
        <w:ind w:left="1800" w:hanging="360"/>
      </w:pPr>
    </w:lvl>
    <w:lvl w:ilvl="1" w:tentative="0">
      <w:start w:val="1"/>
      <w:numFmt w:val="lowerLetter"/>
      <w:lvlText w:val="%2."/>
      <w:lvlJc w:val="left"/>
      <w:pPr>
        <w:ind w:left="2520" w:hanging="360"/>
      </w:pPr>
    </w:lvl>
    <w:lvl w:ilvl="2" w:tentative="0">
      <w:start w:val="1"/>
      <w:numFmt w:val="lowerRoman"/>
      <w:lvlText w:val="%3."/>
      <w:lvlJc w:val="right"/>
      <w:pPr>
        <w:ind w:left="3240" w:hanging="180"/>
      </w:pPr>
    </w:lvl>
    <w:lvl w:ilvl="3" w:tentative="0">
      <w:start w:val="1"/>
      <w:numFmt w:val="decimal"/>
      <w:lvlText w:val="%4."/>
      <w:lvlJc w:val="left"/>
      <w:pPr>
        <w:ind w:left="3960" w:hanging="360"/>
      </w:pPr>
    </w:lvl>
    <w:lvl w:ilvl="4" w:tentative="0">
      <w:start w:val="1"/>
      <w:numFmt w:val="lowerLetter"/>
      <w:lvlText w:val="%5."/>
      <w:lvlJc w:val="left"/>
      <w:pPr>
        <w:ind w:left="4680" w:hanging="360"/>
      </w:pPr>
    </w:lvl>
    <w:lvl w:ilvl="5" w:tentative="0">
      <w:start w:val="1"/>
      <w:numFmt w:val="lowerRoman"/>
      <w:lvlText w:val="%6."/>
      <w:lvlJc w:val="right"/>
      <w:pPr>
        <w:ind w:left="5400" w:hanging="180"/>
      </w:pPr>
    </w:lvl>
    <w:lvl w:ilvl="6" w:tentative="0">
      <w:start w:val="1"/>
      <w:numFmt w:val="decimal"/>
      <w:lvlText w:val="%7."/>
      <w:lvlJc w:val="left"/>
      <w:pPr>
        <w:ind w:left="6120" w:hanging="360"/>
      </w:pPr>
    </w:lvl>
    <w:lvl w:ilvl="7" w:tentative="0">
      <w:start w:val="1"/>
      <w:numFmt w:val="lowerLetter"/>
      <w:lvlText w:val="%8."/>
      <w:lvlJc w:val="left"/>
      <w:pPr>
        <w:ind w:left="6840" w:hanging="360"/>
      </w:pPr>
    </w:lvl>
    <w:lvl w:ilvl="8" w:tentative="0">
      <w:start w:val="1"/>
      <w:numFmt w:val="lowerRoman"/>
      <w:lvlText w:val="%9."/>
      <w:lvlJc w:val="right"/>
      <w:pPr>
        <w:ind w:left="7560" w:hanging="180"/>
      </w:pPr>
    </w:lvl>
  </w:abstractNum>
  <w:abstractNum w:abstractNumId="2">
    <w:nsid w:val="0D496E14"/>
    <w:multiLevelType w:val="multilevel"/>
    <w:tmpl w:val="0D496E14"/>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0E017969"/>
    <w:multiLevelType w:val="multilevel"/>
    <w:tmpl w:val="0E017969"/>
    <w:lvl w:ilvl="0" w:tentative="0">
      <w:start w:val="1"/>
      <w:numFmt w:val="decimal"/>
      <w:lvlText w:val="(%1)"/>
      <w:lvlJc w:val="left"/>
      <w:pPr>
        <w:ind w:left="720" w:hanging="360"/>
      </w:pPr>
      <w:rPr>
        <w:rFonts w:hint="default"/>
      </w:rPr>
    </w:lvl>
    <w:lvl w:ilvl="1" w:tentative="0">
      <w:start w:val="1"/>
      <w:numFmt w:val="decimal"/>
      <w:lvlText w:val="%2."/>
      <w:lvlJc w:val="left"/>
      <w:pPr>
        <w:ind w:left="1440" w:hanging="360"/>
      </w:pPr>
      <w:rPr>
        <w:rFonts w:hint="default"/>
      </w:r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15D843DE"/>
    <w:multiLevelType w:val="multilevel"/>
    <w:tmpl w:val="15D843DE"/>
    <w:lvl w:ilvl="0" w:tentative="0">
      <w:start w:val="1"/>
      <w:numFmt w:val="decimal"/>
      <w:lvlText w:val="%1)"/>
      <w:lvlJc w:val="left"/>
      <w:pPr>
        <w:ind w:left="720" w:hanging="360"/>
      </w:pPr>
      <w:rPr>
        <w:rFonts w:hint="default"/>
      </w:rPr>
    </w:lvl>
    <w:lvl w:ilvl="1" w:tentative="0">
      <w:start w:val="1"/>
      <w:numFmt w:val="decimal"/>
      <w:lvlText w:val="%2."/>
      <w:lvlJc w:val="left"/>
      <w:pPr>
        <w:ind w:left="1440" w:hanging="360"/>
      </w:pPr>
      <w:rPr>
        <w:rFonts w:hint="default"/>
      </w:r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422307F1"/>
    <w:multiLevelType w:val="multilevel"/>
    <w:tmpl w:val="422307F1"/>
    <w:lvl w:ilvl="0" w:tentative="0">
      <w:start w:val="1"/>
      <w:numFmt w:val="decimal"/>
      <w:lvlText w:val="%1."/>
      <w:lvlJc w:val="left"/>
      <w:pPr>
        <w:ind w:left="720" w:hanging="360"/>
      </w:pPr>
      <w:rPr>
        <w:rFonts w:hint="default" w:ascii="Arial" w:hAnsi="Arial" w:cs="Arial"/>
        <w:sz w:val="20"/>
        <w:szCs w:val="20"/>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5A0A09AD"/>
    <w:multiLevelType w:val="multilevel"/>
    <w:tmpl w:val="5A0A09AD"/>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5C4C2332"/>
    <w:multiLevelType w:val="multilevel"/>
    <w:tmpl w:val="5C4C233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68432E0B"/>
    <w:multiLevelType w:val="multilevel"/>
    <w:tmpl w:val="68432E0B"/>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7"/>
  </w:num>
  <w:num w:numId="2">
    <w:abstractNumId w:val="4"/>
  </w:num>
  <w:num w:numId="3">
    <w:abstractNumId w:val="2"/>
  </w:num>
  <w:num w:numId="4">
    <w:abstractNumId w:val="0"/>
  </w:num>
  <w:num w:numId="5">
    <w:abstractNumId w:val="3"/>
  </w:num>
  <w:num w:numId="6">
    <w:abstractNumId w:val="6"/>
  </w:num>
  <w:num w:numId="7">
    <w:abstractNumId w:val="8"/>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hideSpellingErrors/>
  <w:hideGrammaticalErrors/>
  <w:documentProtection w:enforcement="0"/>
  <w:defaultTabStop w:val="720"/>
  <w:doNotHyphenateCaps/>
  <w:displayHorizontalDrawingGridEvery w:val="0"/>
  <w:displayVerticalDrawingGridEvery w:val="0"/>
  <w:doNotUseMarginsForDrawingGridOrigin w:val="1"/>
  <w:drawingGridHorizontalOrigin w:val="1800"/>
  <w:drawingGridVerticalOrigin w:val="1440"/>
  <w:doNotShadeFormData w:val="1"/>
  <w:noPunctuationKerning w:val="1"/>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3C8"/>
    <w:rsid w:val="000032CD"/>
    <w:rsid w:val="00065081"/>
    <w:rsid w:val="000B0CEA"/>
    <w:rsid w:val="000E17FF"/>
    <w:rsid w:val="000F057E"/>
    <w:rsid w:val="000F2C37"/>
    <w:rsid w:val="001214F1"/>
    <w:rsid w:val="00131B4D"/>
    <w:rsid w:val="00137225"/>
    <w:rsid w:val="0014703A"/>
    <w:rsid w:val="00152295"/>
    <w:rsid w:val="00166AE2"/>
    <w:rsid w:val="00170243"/>
    <w:rsid w:val="00171DEA"/>
    <w:rsid w:val="001960B7"/>
    <w:rsid w:val="001A2E93"/>
    <w:rsid w:val="001B50AD"/>
    <w:rsid w:val="001B5B32"/>
    <w:rsid w:val="001C1818"/>
    <w:rsid w:val="001C1DF0"/>
    <w:rsid w:val="001C2CA2"/>
    <w:rsid w:val="001D0CB0"/>
    <w:rsid w:val="001D687F"/>
    <w:rsid w:val="001F1DD0"/>
    <w:rsid w:val="001F2373"/>
    <w:rsid w:val="001F2D7F"/>
    <w:rsid w:val="001F2F45"/>
    <w:rsid w:val="001F344E"/>
    <w:rsid w:val="001F5730"/>
    <w:rsid w:val="001F7924"/>
    <w:rsid w:val="00200DE9"/>
    <w:rsid w:val="00203F09"/>
    <w:rsid w:val="002042A3"/>
    <w:rsid w:val="002329EF"/>
    <w:rsid w:val="00234789"/>
    <w:rsid w:val="002412B6"/>
    <w:rsid w:val="002A021A"/>
    <w:rsid w:val="002B2AAA"/>
    <w:rsid w:val="002D1DE3"/>
    <w:rsid w:val="002D4C93"/>
    <w:rsid w:val="002E491C"/>
    <w:rsid w:val="0030216B"/>
    <w:rsid w:val="00325EE7"/>
    <w:rsid w:val="003447F8"/>
    <w:rsid w:val="00350958"/>
    <w:rsid w:val="00350FE6"/>
    <w:rsid w:val="00367BE0"/>
    <w:rsid w:val="003A3C1E"/>
    <w:rsid w:val="003C2AD4"/>
    <w:rsid w:val="003C6025"/>
    <w:rsid w:val="003E2C87"/>
    <w:rsid w:val="00415F51"/>
    <w:rsid w:val="004569D5"/>
    <w:rsid w:val="00475744"/>
    <w:rsid w:val="00490520"/>
    <w:rsid w:val="004A017D"/>
    <w:rsid w:val="004A749E"/>
    <w:rsid w:val="004F00B7"/>
    <w:rsid w:val="0053059F"/>
    <w:rsid w:val="00580FE2"/>
    <w:rsid w:val="005967F3"/>
    <w:rsid w:val="005B47DA"/>
    <w:rsid w:val="005C438D"/>
    <w:rsid w:val="005C4601"/>
    <w:rsid w:val="005C7851"/>
    <w:rsid w:val="005D14FD"/>
    <w:rsid w:val="00690FA0"/>
    <w:rsid w:val="00691164"/>
    <w:rsid w:val="00691AF2"/>
    <w:rsid w:val="0069319B"/>
    <w:rsid w:val="00693A7F"/>
    <w:rsid w:val="006B68A2"/>
    <w:rsid w:val="006C1D4D"/>
    <w:rsid w:val="006E51E2"/>
    <w:rsid w:val="006E5B7D"/>
    <w:rsid w:val="006F1917"/>
    <w:rsid w:val="007417BA"/>
    <w:rsid w:val="00763725"/>
    <w:rsid w:val="007650B8"/>
    <w:rsid w:val="007709B4"/>
    <w:rsid w:val="007743C8"/>
    <w:rsid w:val="00780A13"/>
    <w:rsid w:val="007846E1"/>
    <w:rsid w:val="00791CE1"/>
    <w:rsid w:val="007C3381"/>
    <w:rsid w:val="0080477D"/>
    <w:rsid w:val="008060B9"/>
    <w:rsid w:val="00807308"/>
    <w:rsid w:val="008131CD"/>
    <w:rsid w:val="008275B9"/>
    <w:rsid w:val="0086479E"/>
    <w:rsid w:val="00880D76"/>
    <w:rsid w:val="008945AF"/>
    <w:rsid w:val="008B60FC"/>
    <w:rsid w:val="008E507D"/>
    <w:rsid w:val="00922C13"/>
    <w:rsid w:val="009271F7"/>
    <w:rsid w:val="0093184E"/>
    <w:rsid w:val="00933A79"/>
    <w:rsid w:val="00940971"/>
    <w:rsid w:val="00960427"/>
    <w:rsid w:val="009844E9"/>
    <w:rsid w:val="00991FA3"/>
    <w:rsid w:val="00993132"/>
    <w:rsid w:val="00994741"/>
    <w:rsid w:val="00997C8D"/>
    <w:rsid w:val="009A35AC"/>
    <w:rsid w:val="009F0E36"/>
    <w:rsid w:val="00A00D6C"/>
    <w:rsid w:val="00A064B6"/>
    <w:rsid w:val="00A175D1"/>
    <w:rsid w:val="00A339AD"/>
    <w:rsid w:val="00A346F5"/>
    <w:rsid w:val="00A429AD"/>
    <w:rsid w:val="00A440AA"/>
    <w:rsid w:val="00A74AA9"/>
    <w:rsid w:val="00A80735"/>
    <w:rsid w:val="00A84946"/>
    <w:rsid w:val="00AC16E8"/>
    <w:rsid w:val="00AC7BC6"/>
    <w:rsid w:val="00AE7ED6"/>
    <w:rsid w:val="00AF6A29"/>
    <w:rsid w:val="00B141ED"/>
    <w:rsid w:val="00BA4D56"/>
    <w:rsid w:val="00BB148B"/>
    <w:rsid w:val="00BE3603"/>
    <w:rsid w:val="00BE38FB"/>
    <w:rsid w:val="00BE437E"/>
    <w:rsid w:val="00BF4EAE"/>
    <w:rsid w:val="00C23350"/>
    <w:rsid w:val="00C241A5"/>
    <w:rsid w:val="00C37A29"/>
    <w:rsid w:val="00C4038C"/>
    <w:rsid w:val="00C41C2A"/>
    <w:rsid w:val="00C4489E"/>
    <w:rsid w:val="00C62BF6"/>
    <w:rsid w:val="00C6420C"/>
    <w:rsid w:val="00C64B48"/>
    <w:rsid w:val="00C765E7"/>
    <w:rsid w:val="00C80C1E"/>
    <w:rsid w:val="00CA5160"/>
    <w:rsid w:val="00CA5B79"/>
    <w:rsid w:val="00CA674C"/>
    <w:rsid w:val="00CB7351"/>
    <w:rsid w:val="00CC1C17"/>
    <w:rsid w:val="00CC4CF9"/>
    <w:rsid w:val="00CE33A1"/>
    <w:rsid w:val="00CF4C14"/>
    <w:rsid w:val="00D72C8C"/>
    <w:rsid w:val="00D740F5"/>
    <w:rsid w:val="00D86CBB"/>
    <w:rsid w:val="00DA500C"/>
    <w:rsid w:val="00DB2FE4"/>
    <w:rsid w:val="00DB48F8"/>
    <w:rsid w:val="00DB4A5B"/>
    <w:rsid w:val="00E05601"/>
    <w:rsid w:val="00E25627"/>
    <w:rsid w:val="00E2719F"/>
    <w:rsid w:val="00E67E07"/>
    <w:rsid w:val="00E73CF2"/>
    <w:rsid w:val="00E81CEB"/>
    <w:rsid w:val="00E82464"/>
    <w:rsid w:val="00EA361D"/>
    <w:rsid w:val="00EA6728"/>
    <w:rsid w:val="00EB4AFD"/>
    <w:rsid w:val="00EB550C"/>
    <w:rsid w:val="00EE0E53"/>
    <w:rsid w:val="00F00A6A"/>
    <w:rsid w:val="00F012BA"/>
    <w:rsid w:val="00F109BB"/>
    <w:rsid w:val="00F15018"/>
    <w:rsid w:val="00F7004A"/>
    <w:rsid w:val="00F74F7B"/>
    <w:rsid w:val="00F818A7"/>
    <w:rsid w:val="00F83FFF"/>
    <w:rsid w:val="00F92675"/>
    <w:rsid w:val="00FC3676"/>
    <w:rsid w:val="00FD3AA9"/>
    <w:rsid w:val="00FD6C3F"/>
    <w:rsid w:val="00FF1832"/>
    <w:rsid w:val="57090F77"/>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name="header"/>
    <w:lsdException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lang w:val="en-US" w:eastAsia="en-US" w:bidi="ar-SA"/>
    </w:rPr>
  </w:style>
  <w:style w:type="paragraph" w:styleId="2">
    <w:name w:val="heading 1"/>
    <w:basedOn w:val="1"/>
    <w:next w:val="1"/>
    <w:qFormat/>
    <w:uiPriority w:val="0"/>
    <w:pPr>
      <w:keepNext/>
      <w:jc w:val="center"/>
      <w:outlineLvl w:val="0"/>
    </w:pPr>
    <w:rPr>
      <w:rFonts w:ascii="Bookman Old Style" w:hAnsi="Bookman Old Style"/>
      <w:sz w:val="24"/>
    </w:rPr>
  </w:style>
  <w:style w:type="paragraph" w:styleId="3">
    <w:name w:val="heading 2"/>
    <w:basedOn w:val="1"/>
    <w:next w:val="1"/>
    <w:qFormat/>
    <w:uiPriority w:val="0"/>
    <w:pPr>
      <w:keepNext/>
      <w:tabs>
        <w:tab w:val="left" w:pos="360"/>
      </w:tabs>
      <w:jc w:val="both"/>
      <w:outlineLvl w:val="1"/>
    </w:pPr>
    <w:rPr>
      <w:b/>
    </w:rPr>
  </w:style>
  <w:style w:type="character" w:default="1" w:styleId="4">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6">
    <w:name w:val="Balloon Text"/>
    <w:basedOn w:val="1"/>
    <w:semiHidden/>
    <w:uiPriority w:val="0"/>
    <w:rPr>
      <w:rFonts w:ascii="Tahoma" w:hAnsi="Tahoma" w:cs="Tahoma"/>
      <w:sz w:val="16"/>
      <w:szCs w:val="16"/>
    </w:rPr>
  </w:style>
  <w:style w:type="paragraph" w:styleId="7">
    <w:name w:val="Body Text"/>
    <w:basedOn w:val="1"/>
    <w:semiHidden/>
    <w:uiPriority w:val="0"/>
    <w:pPr>
      <w:jc w:val="center"/>
    </w:pPr>
    <w:rPr>
      <w:b/>
    </w:rPr>
  </w:style>
  <w:style w:type="paragraph" w:styleId="8">
    <w:name w:val="Body Text 3"/>
    <w:basedOn w:val="1"/>
    <w:link w:val="12"/>
    <w:unhideWhenUsed/>
    <w:uiPriority w:val="99"/>
    <w:pPr>
      <w:spacing w:after="120"/>
    </w:pPr>
    <w:rPr>
      <w:sz w:val="16"/>
      <w:szCs w:val="16"/>
      <w:lang w:val="zh-CN"/>
    </w:rPr>
  </w:style>
  <w:style w:type="paragraph" w:styleId="9">
    <w:name w:val="footer"/>
    <w:basedOn w:val="1"/>
    <w:semiHidden/>
    <w:uiPriority w:val="0"/>
    <w:pPr>
      <w:tabs>
        <w:tab w:val="center" w:pos="4320"/>
        <w:tab w:val="right" w:pos="8640"/>
      </w:tabs>
    </w:pPr>
  </w:style>
  <w:style w:type="paragraph" w:styleId="10">
    <w:name w:val="header"/>
    <w:basedOn w:val="1"/>
    <w:semiHidden/>
    <w:qFormat/>
    <w:uiPriority w:val="0"/>
    <w:pPr>
      <w:tabs>
        <w:tab w:val="center" w:pos="4320"/>
        <w:tab w:val="right" w:pos="8640"/>
      </w:tabs>
    </w:pPr>
  </w:style>
  <w:style w:type="table" w:styleId="11">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Body Text 3 Char"/>
    <w:link w:val="8"/>
    <w:uiPriority w:val="99"/>
    <w:rPr>
      <w:sz w:val="16"/>
      <w:szCs w:val="16"/>
      <w:lang w:eastAsia="en-US"/>
    </w:rPr>
  </w:style>
  <w:style w:type="paragraph" w:styleId="13">
    <w:name w:val="List Paragraph"/>
    <w:basedOn w:val="1"/>
    <w:qFormat/>
    <w:uiPriority w:val="34"/>
    <w:pPr>
      <w:ind w:left="720"/>
    </w:pPr>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3.emf"/><Relationship Id="rId14" Type="http://schemas.openxmlformats.org/officeDocument/2006/relationships/oleObject" Target="embeddings/oleObject3.bin"/><Relationship Id="rId13" Type="http://schemas.openxmlformats.org/officeDocument/2006/relationships/image" Target="media/image2.emf"/><Relationship Id="rId12" Type="http://schemas.openxmlformats.org/officeDocument/2006/relationships/oleObject" Target="embeddings/oleObject2.bin"/><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E&amp;E Labs, Inc.</Company>
  <Pages>3</Pages>
  <Words>1620</Words>
  <Characters>9235</Characters>
  <Lines>76</Lines>
  <Paragraphs>21</Paragraphs>
  <TotalTime>19</TotalTime>
  <ScaleCrop>false</ScaleCrop>
  <LinksUpToDate>false</LinksUpToDate>
  <CharactersWithSpaces>10834</CharactersWithSpaces>
  <Application>WPS Office_12.2.0.17153_F1E327BC-269C-435d-A152-05C5408002CA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2024-08-01T07:51:00Z</dcterms:created>
  <dc:creator>SHAO FANG YOU</dc:creator>
  <cp:lastModifiedBy>WPS_1704431798</cp:lastModifiedBy>
  <cp:lastPrinted>2008-08-26T11:33:00Z</cp:lastPrinted>
  <dcterms:modified xsi:type="dcterms:W3CDTF">2024-10-15T07:11:51Z</dcterms:modified>
  <dc:title>AFP enzyme immunoassay test kit</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817549EFC65D43D39E1B3DFBFB7725D6_12</vt:lpwstr>
  </property>
</Properties>
</file>