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C3EA40" w14:textId="77777777" w:rsidR="00DD751D" w:rsidRDefault="00000000">
      <w:pPr>
        <w:pStyle w:val="Footer"/>
        <w:tabs>
          <w:tab w:val="clear" w:pos="4320"/>
          <w:tab w:val="clear" w:pos="8640"/>
        </w:tabs>
        <w:rPr>
          <w:sz w:val="24"/>
        </w:rPr>
      </w:pPr>
      <w:r>
        <w:rPr>
          <w:noProof/>
        </w:rPr>
        <mc:AlternateContent>
          <mc:Choice Requires="wps">
            <w:drawing>
              <wp:anchor distT="0" distB="0" distL="114300" distR="114300" simplePos="0" relativeHeight="251659264" behindDoc="0" locked="0" layoutInCell="0" allowOverlap="1" wp14:anchorId="7DBA5D2E" wp14:editId="7195A046">
                <wp:simplePos x="0" y="0"/>
                <wp:positionH relativeFrom="column">
                  <wp:posOffset>95250</wp:posOffset>
                </wp:positionH>
                <wp:positionV relativeFrom="paragraph">
                  <wp:posOffset>-40005</wp:posOffset>
                </wp:positionV>
                <wp:extent cx="2651760" cy="789305"/>
                <wp:effectExtent l="0" t="0" r="0" b="0"/>
                <wp:wrapNone/>
                <wp:docPr id="188922757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1760" cy="789305"/>
                        </a:xfrm>
                        <a:prstGeom prst="rect">
                          <a:avLst/>
                        </a:prstGeom>
                        <a:noFill/>
                        <a:ln>
                          <a:noFill/>
                        </a:ln>
                        <a:effectLst/>
                      </wps:spPr>
                      <wps:txbx>
                        <w:txbxContent>
                          <w:p w14:paraId="37E70FD2" w14:textId="77777777" w:rsidR="00DD751D" w:rsidRDefault="00000000">
                            <w:pPr>
                              <w:jc w:val="center"/>
                              <w:rPr>
                                <w:rFonts w:ascii="Bookman Old Style" w:hAnsi="Bookman Old Style"/>
                                <w:b/>
                                <w:sz w:val="24"/>
                              </w:rPr>
                            </w:pPr>
                            <w:r>
                              <w:rPr>
                                <w:rFonts w:ascii="Bookman Old Style" w:hAnsi="Bookman Old Style"/>
                                <w:b/>
                                <w:sz w:val="24"/>
                              </w:rPr>
                              <w:t>Immunoglobulin E (</w:t>
                            </w:r>
                            <w:proofErr w:type="spellStart"/>
                            <w:r>
                              <w:rPr>
                                <w:rFonts w:ascii="Bookman Old Style" w:hAnsi="Bookman Old Style"/>
                                <w:b/>
                                <w:sz w:val="24"/>
                              </w:rPr>
                              <w:t>IgE</w:t>
                            </w:r>
                            <w:proofErr w:type="spellEnd"/>
                            <w:r>
                              <w:rPr>
                                <w:rFonts w:ascii="Bookman Old Style" w:hAnsi="Bookman Old Style"/>
                                <w:b/>
                                <w:sz w:val="24"/>
                              </w:rPr>
                              <w:t>)</w:t>
                            </w:r>
                          </w:p>
                          <w:p w14:paraId="3656C3A1" w14:textId="77777777" w:rsidR="00DD751D" w:rsidRDefault="00000000">
                            <w:pPr>
                              <w:jc w:val="center"/>
                              <w:rPr>
                                <w:rFonts w:ascii="Bookman Old Style" w:hAnsi="Bookman Old Style"/>
                                <w:b/>
                                <w:sz w:val="24"/>
                              </w:rPr>
                            </w:pPr>
                            <w:r>
                              <w:rPr>
                                <w:rFonts w:ascii="Bookman Old Style" w:hAnsi="Bookman Old Style"/>
                                <w:b/>
                                <w:sz w:val="24"/>
                              </w:rPr>
                              <w:t xml:space="preserve">ENZYME IMMUNOASSAY </w:t>
                            </w:r>
                          </w:p>
                          <w:p w14:paraId="399BD73F" w14:textId="77777777" w:rsidR="00DD751D" w:rsidRDefault="00000000">
                            <w:pPr>
                              <w:jc w:val="center"/>
                              <w:rPr>
                                <w:rFonts w:ascii="Bookman Old Style" w:hAnsi="Bookman Old Style"/>
                                <w:b/>
                                <w:sz w:val="24"/>
                              </w:rPr>
                            </w:pPr>
                            <w:r>
                              <w:rPr>
                                <w:rFonts w:ascii="Bookman Old Style" w:hAnsi="Bookman Old Style"/>
                                <w:b/>
                                <w:sz w:val="24"/>
                              </w:rPr>
                              <w:t>TEST KIT</w:t>
                            </w:r>
                          </w:p>
                          <w:p w14:paraId="2A9D6AF9" w14:textId="77777777" w:rsidR="00DD751D" w:rsidRDefault="00DD751D">
                            <w:pPr>
                              <w:jc w:val="center"/>
                              <w:rPr>
                                <w:b/>
                                <w:sz w:val="28"/>
                              </w:rPr>
                            </w:pPr>
                          </w:p>
                        </w:txbxContent>
                      </wps:txbx>
                      <wps:bodyPr rot="0" vert="horz" wrap="square" lIns="12700" tIns="12700" rIns="12700" bIns="12700" anchor="t" anchorCtr="0" upright="1">
                        <a:noAutofit/>
                      </wps:bodyPr>
                    </wps:wsp>
                  </a:graphicData>
                </a:graphic>
              </wp:anchor>
            </w:drawing>
          </mc:Choice>
          <mc:Fallback>
            <w:pict>
              <v:rect w14:anchorId="7DBA5D2E" id="Rectangle 2" o:spid="_x0000_s1026" style="position:absolute;margin-left:7.5pt;margin-top:-3.15pt;width:208.8pt;height:62.1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" o:allowincell="f" filled="f" stroked="f">
                <v:textbox inset="1pt,1pt,1pt,1pt">
                  <w:txbxContent>
                    <w:p w14:paraId="37E70FD2" w14:textId="77777777" w:rsidR="00DD751D" w:rsidRDefault="00000000">
                      <w:pPr>
                        <w:jc w:val="center"/>
                        <w:rPr>
                          <w:rFonts w:ascii="Bookman Old Style" w:hAnsi="Bookman Old Style"/>
                          <w:b/>
                          <w:sz w:val="24"/>
                        </w:rPr>
                      </w:pPr>
                      <w:r>
                        <w:rPr>
                          <w:rFonts w:ascii="Bookman Old Style" w:hAnsi="Bookman Old Style"/>
                          <w:b/>
                          <w:sz w:val="24"/>
                        </w:rPr>
                        <w:t>Immunoglobulin E (</w:t>
                      </w:r>
                      <w:proofErr w:type="spellStart"/>
                      <w:r>
                        <w:rPr>
                          <w:rFonts w:ascii="Bookman Old Style" w:hAnsi="Bookman Old Style"/>
                          <w:b/>
                          <w:sz w:val="24"/>
                        </w:rPr>
                        <w:t>IgE</w:t>
                      </w:r>
                      <w:proofErr w:type="spellEnd"/>
                      <w:r>
                        <w:rPr>
                          <w:rFonts w:ascii="Bookman Old Style" w:hAnsi="Bookman Old Style"/>
                          <w:b/>
                          <w:sz w:val="24"/>
                        </w:rPr>
                        <w:t>)</w:t>
                      </w:r>
                    </w:p>
                    <w:p w14:paraId="3656C3A1" w14:textId="77777777" w:rsidR="00DD751D" w:rsidRDefault="00000000">
                      <w:pPr>
                        <w:jc w:val="center"/>
                        <w:rPr>
                          <w:rFonts w:ascii="Bookman Old Style" w:hAnsi="Bookman Old Style"/>
                          <w:b/>
                          <w:sz w:val="24"/>
                        </w:rPr>
                      </w:pPr>
                      <w:r>
                        <w:rPr>
                          <w:rFonts w:ascii="Bookman Old Style" w:hAnsi="Bookman Old Style"/>
                          <w:b/>
                          <w:sz w:val="24"/>
                        </w:rPr>
                        <w:t xml:space="preserve">ENZYME IMMUNOASSAY </w:t>
                      </w:r>
                    </w:p>
                    <w:p w14:paraId="399BD73F" w14:textId="77777777" w:rsidR="00DD751D" w:rsidRDefault="00000000">
                      <w:pPr>
                        <w:jc w:val="center"/>
                        <w:rPr>
                          <w:rFonts w:ascii="Bookman Old Style" w:hAnsi="Bookman Old Style"/>
                          <w:b/>
                          <w:sz w:val="24"/>
                        </w:rPr>
                      </w:pPr>
                      <w:r>
                        <w:rPr>
                          <w:rFonts w:ascii="Bookman Old Style" w:hAnsi="Bookman Old Style"/>
                          <w:b/>
                          <w:sz w:val="24"/>
                        </w:rPr>
                        <w:t>TEST KIT</w:t>
                      </w:r>
                    </w:p>
                    <w:p w14:paraId="2A9D6AF9" w14:textId="77777777" w:rsidR="00DD751D" w:rsidRDefault="00DD751D">
                      <w:pPr>
                        <w:jc w:val="center"/>
                        <w:rPr>
                          <w:b/>
                          <w:sz w:val="28"/>
                        </w:rPr>
                      </w:pPr>
                    </w:p>
                  </w:txbxContent>
                </v:textbox>
              </v:rect>
            </w:pict>
          </mc:Fallback>
        </mc:AlternateContent>
      </w:r>
    </w:p>
    <w:p w14:paraId="78FE81B2" w14:textId="77777777" w:rsidR="00DD751D" w:rsidRDefault="00DD751D">
      <w:pPr>
        <w:rPr>
          <w:sz w:val="24"/>
        </w:rPr>
      </w:pPr>
    </w:p>
    <w:p w14:paraId="56C291CF" w14:textId="77777777" w:rsidR="00DD751D" w:rsidRDefault="00DD751D">
      <w:pPr>
        <w:rPr>
          <w:sz w:val="24"/>
        </w:rPr>
      </w:pPr>
    </w:p>
    <w:p w14:paraId="01608DB1" w14:textId="77777777" w:rsidR="00DD751D" w:rsidRDefault="00DD751D">
      <w:pPr>
        <w:tabs>
          <w:tab w:val="left" w:pos="360"/>
        </w:tabs>
        <w:jc w:val="center"/>
        <w:rPr>
          <w:rFonts w:ascii="Arial" w:hAnsi="Arial" w:cs="Arial"/>
          <w:b/>
        </w:rPr>
      </w:pPr>
    </w:p>
    <w:p w14:paraId="70286A75" w14:textId="77777777" w:rsidR="00DD751D" w:rsidRDefault="00DD751D">
      <w:pPr>
        <w:tabs>
          <w:tab w:val="left" w:pos="360"/>
        </w:tabs>
        <w:jc w:val="center"/>
        <w:rPr>
          <w:rFonts w:ascii="Arial" w:hAnsi="Arial" w:cs="Arial"/>
          <w:b/>
        </w:rPr>
      </w:pPr>
    </w:p>
    <w:p w14:paraId="5988FC52" w14:textId="77777777" w:rsidR="00DD751D" w:rsidRDefault="00000000">
      <w:pPr>
        <w:tabs>
          <w:tab w:val="left" w:pos="360"/>
        </w:tabs>
        <w:jc w:val="center"/>
        <w:rPr>
          <w:rFonts w:ascii="Arial" w:hAnsi="Arial" w:cs="Arial"/>
          <w:b/>
        </w:rPr>
      </w:pPr>
      <w:r>
        <w:rPr>
          <w:rFonts w:ascii="Arial" w:hAnsi="Arial" w:cs="Arial"/>
          <w:b/>
        </w:rPr>
        <w:t>Enzyme Linked Immunosorbent Assay (ELISA) for Quantitative Determination of Immunoglobulin E (</w:t>
      </w:r>
      <w:proofErr w:type="spellStart"/>
      <w:r>
        <w:rPr>
          <w:rFonts w:ascii="Arial" w:hAnsi="Arial" w:cs="Arial"/>
          <w:b/>
        </w:rPr>
        <w:t>IgE</w:t>
      </w:r>
      <w:proofErr w:type="spellEnd"/>
      <w:r>
        <w:rPr>
          <w:rFonts w:ascii="Arial" w:hAnsi="Arial" w:cs="Arial"/>
          <w:b/>
        </w:rPr>
        <w:t>) Concentration in Human Serum</w:t>
      </w:r>
    </w:p>
    <w:p w14:paraId="7744B7DE" w14:textId="77777777" w:rsidR="00DD751D" w:rsidRDefault="00DD751D">
      <w:pPr>
        <w:tabs>
          <w:tab w:val="left" w:pos="360"/>
        </w:tabs>
        <w:jc w:val="center"/>
        <w:rPr>
          <w:rFonts w:ascii="Arial" w:hAnsi="Arial" w:cs="Arial"/>
          <w:b/>
        </w:rPr>
      </w:pPr>
    </w:p>
    <w:p w14:paraId="224EB6F0" w14:textId="77777777" w:rsidR="00DD751D" w:rsidRDefault="00000000">
      <w:pPr>
        <w:tabs>
          <w:tab w:val="left" w:pos="360"/>
        </w:tabs>
        <w:jc w:val="center"/>
        <w:rPr>
          <w:rFonts w:ascii="Arial" w:hAnsi="Arial" w:cs="Arial"/>
          <w:b/>
        </w:rPr>
      </w:pPr>
      <w:r>
        <w:rPr>
          <w:rFonts w:ascii="Arial" w:hAnsi="Arial" w:cs="Arial"/>
          <w:b/>
        </w:rPr>
        <w:t>FOR IN VITRO DIAGNOSTIC USE ONLY</w:t>
      </w:r>
    </w:p>
    <w:p w14:paraId="40CCCF42" w14:textId="77777777" w:rsidR="00DD751D" w:rsidRDefault="00000000">
      <w:pPr>
        <w:tabs>
          <w:tab w:val="left" w:pos="360"/>
        </w:tabs>
        <w:jc w:val="center"/>
        <w:rPr>
          <w:rFonts w:ascii="Arial" w:hAnsi="Arial" w:cs="Arial"/>
          <w:b/>
        </w:rPr>
      </w:pPr>
      <w:r>
        <w:rPr>
          <w:rFonts w:ascii="Arial" w:hAnsi="Arial" w:cs="Arial"/>
          <w:b/>
        </w:rPr>
        <w:t>Store at 2°C to 8°C</w:t>
      </w:r>
    </w:p>
    <w:p w14:paraId="0C37E80D" w14:textId="77777777" w:rsidR="00DD751D" w:rsidRDefault="00DD751D">
      <w:pPr>
        <w:tabs>
          <w:tab w:val="left" w:pos="360"/>
        </w:tabs>
        <w:rPr>
          <w:rFonts w:ascii="Arial" w:hAnsi="Arial" w:cs="Arial"/>
          <w:b/>
          <w:sz w:val="18"/>
          <w:szCs w:val="18"/>
        </w:rPr>
      </w:pPr>
    </w:p>
    <w:p w14:paraId="57CE02BA" w14:textId="77777777" w:rsidR="00DD751D" w:rsidRDefault="00DD751D">
      <w:pPr>
        <w:tabs>
          <w:tab w:val="left" w:pos="360"/>
        </w:tabs>
        <w:jc w:val="both"/>
        <w:rPr>
          <w:rFonts w:ascii="Arial" w:hAnsi="Arial" w:cs="Arial"/>
          <w:bCs/>
          <w:sz w:val="18"/>
          <w:szCs w:val="18"/>
        </w:rPr>
      </w:pPr>
    </w:p>
    <w:p w14:paraId="154B88C4" w14:textId="77777777" w:rsidR="00DD751D" w:rsidRDefault="00000000">
      <w:pPr>
        <w:tabs>
          <w:tab w:val="left" w:pos="360"/>
        </w:tabs>
        <w:ind w:left="720" w:hanging="294"/>
        <w:jc w:val="both"/>
        <w:rPr>
          <w:rFonts w:ascii="Arial" w:hAnsi="Arial" w:cs="Arial"/>
          <w:bCs/>
          <w:sz w:val="18"/>
          <w:szCs w:val="18"/>
        </w:rPr>
      </w:pPr>
      <w:r>
        <w:rPr>
          <w:rFonts w:ascii="Arial" w:hAnsi="Arial" w:cs="Arial"/>
          <w:bCs/>
          <w:sz w:val="18"/>
          <w:szCs w:val="18"/>
        </w:rPr>
        <w:t xml:space="preserve">INTENDED USE </w:t>
      </w:r>
    </w:p>
    <w:p w14:paraId="0DCA8FF6" w14:textId="77777777" w:rsidR="00DD751D" w:rsidRDefault="00000000">
      <w:pPr>
        <w:tabs>
          <w:tab w:val="left" w:pos="426"/>
        </w:tabs>
        <w:ind w:left="426"/>
        <w:jc w:val="both"/>
        <w:rPr>
          <w:rFonts w:ascii="Arial" w:hAnsi="Arial" w:cs="Arial"/>
          <w:bCs/>
          <w:sz w:val="18"/>
          <w:szCs w:val="18"/>
        </w:rPr>
      </w:pPr>
      <w:r>
        <w:rPr>
          <w:rFonts w:ascii="Arial" w:hAnsi="Arial" w:cs="Arial"/>
          <w:bCs/>
          <w:sz w:val="18"/>
          <w:szCs w:val="18"/>
        </w:rPr>
        <w:t>Immunoglobulin E (</w:t>
      </w:r>
      <w:proofErr w:type="spellStart"/>
      <w:r>
        <w:rPr>
          <w:rFonts w:ascii="Arial" w:hAnsi="Arial" w:cs="Arial"/>
          <w:bCs/>
          <w:sz w:val="18"/>
          <w:szCs w:val="18"/>
        </w:rPr>
        <w:t>IgE</w:t>
      </w:r>
      <w:proofErr w:type="spellEnd"/>
      <w:r>
        <w:rPr>
          <w:rFonts w:ascii="Arial" w:hAnsi="Arial" w:cs="Arial"/>
          <w:bCs/>
          <w:sz w:val="18"/>
          <w:szCs w:val="18"/>
        </w:rPr>
        <w:t>) sandwich ELISA test is intended for the quantitative determination of Immunoglobulin E (</w:t>
      </w:r>
      <w:proofErr w:type="spellStart"/>
      <w:r>
        <w:rPr>
          <w:rFonts w:ascii="Arial" w:hAnsi="Arial" w:cs="Arial"/>
          <w:bCs/>
          <w:sz w:val="18"/>
          <w:szCs w:val="18"/>
        </w:rPr>
        <w:t>IgE</w:t>
      </w:r>
      <w:proofErr w:type="spellEnd"/>
      <w:r>
        <w:rPr>
          <w:rFonts w:ascii="Arial" w:hAnsi="Arial" w:cs="Arial"/>
          <w:bCs/>
          <w:sz w:val="18"/>
          <w:szCs w:val="18"/>
        </w:rPr>
        <w:t>) Concentration in Human Serum</w:t>
      </w:r>
      <w:r>
        <w:rPr>
          <w:rFonts w:ascii="Arial" w:hAnsi="Arial" w:cs="Arial"/>
          <w:bCs/>
          <w:sz w:val="18"/>
          <w:szCs w:val="18"/>
          <w:lang w:val="en-GB"/>
        </w:rPr>
        <w:t>.</w:t>
      </w:r>
      <w:r>
        <w:rPr>
          <w:rFonts w:ascii="Arial" w:hAnsi="Arial" w:cs="Arial"/>
          <w:bCs/>
          <w:sz w:val="18"/>
          <w:szCs w:val="18"/>
        </w:rPr>
        <w:t xml:space="preserve"> For In Vitro Diagnostics Use only.</w:t>
      </w:r>
    </w:p>
    <w:p w14:paraId="2F019228" w14:textId="77777777" w:rsidR="00DD751D" w:rsidRDefault="00000000">
      <w:pPr>
        <w:tabs>
          <w:tab w:val="left" w:pos="426"/>
        </w:tabs>
        <w:ind w:left="426"/>
        <w:jc w:val="both"/>
        <w:rPr>
          <w:rFonts w:ascii="Arial" w:hAnsi="Arial" w:cs="Arial"/>
          <w:bCs/>
          <w:sz w:val="18"/>
          <w:szCs w:val="18"/>
        </w:rPr>
      </w:pPr>
      <w:r>
        <w:rPr>
          <w:rFonts w:ascii="Arial" w:hAnsi="Arial" w:cs="Arial"/>
          <w:bCs/>
          <w:sz w:val="18"/>
          <w:szCs w:val="18"/>
        </w:rPr>
        <w:t xml:space="preserve"> </w:t>
      </w:r>
    </w:p>
    <w:p w14:paraId="6A50CE70" w14:textId="77777777" w:rsidR="00DD751D" w:rsidRDefault="00000000">
      <w:pPr>
        <w:tabs>
          <w:tab w:val="left" w:pos="426"/>
        </w:tabs>
        <w:ind w:left="426"/>
        <w:jc w:val="both"/>
        <w:rPr>
          <w:rFonts w:ascii="Arial" w:hAnsi="Arial" w:cs="Arial"/>
          <w:bCs/>
          <w:sz w:val="18"/>
          <w:szCs w:val="18"/>
        </w:rPr>
      </w:pPr>
      <w:r>
        <w:rPr>
          <w:rFonts w:ascii="Arial" w:hAnsi="Arial" w:cs="Arial"/>
          <w:bCs/>
          <w:sz w:val="18"/>
          <w:szCs w:val="18"/>
        </w:rPr>
        <w:t>INTRODUCTION</w:t>
      </w:r>
    </w:p>
    <w:p w14:paraId="390C8A96" w14:textId="77777777" w:rsidR="00DD751D" w:rsidRDefault="00000000">
      <w:pPr>
        <w:tabs>
          <w:tab w:val="left" w:pos="426"/>
        </w:tabs>
        <w:ind w:left="426"/>
        <w:jc w:val="both"/>
        <w:rPr>
          <w:rFonts w:ascii="Arial" w:hAnsi="Arial" w:cs="Arial"/>
          <w:bCs/>
          <w:sz w:val="18"/>
          <w:szCs w:val="18"/>
        </w:rPr>
      </w:pPr>
      <w:proofErr w:type="spellStart"/>
      <w:r>
        <w:rPr>
          <w:rFonts w:ascii="Arial" w:hAnsi="Arial" w:cs="Arial"/>
          <w:bCs/>
          <w:sz w:val="18"/>
          <w:szCs w:val="18"/>
        </w:rPr>
        <w:t>IgE</w:t>
      </w:r>
      <w:proofErr w:type="spellEnd"/>
      <w:r>
        <w:rPr>
          <w:rFonts w:ascii="Arial" w:hAnsi="Arial" w:cs="Arial"/>
          <w:bCs/>
          <w:sz w:val="18"/>
          <w:szCs w:val="18"/>
        </w:rPr>
        <w:t xml:space="preserve"> is also known as the </w:t>
      </w:r>
      <w:proofErr w:type="spellStart"/>
      <w:r>
        <w:rPr>
          <w:rFonts w:ascii="Arial" w:hAnsi="Arial" w:cs="Arial"/>
          <w:bCs/>
          <w:sz w:val="18"/>
          <w:szCs w:val="18"/>
        </w:rPr>
        <w:t>reagenic</w:t>
      </w:r>
      <w:proofErr w:type="spellEnd"/>
      <w:r>
        <w:rPr>
          <w:rFonts w:ascii="Arial" w:hAnsi="Arial" w:cs="Arial"/>
          <w:bCs/>
          <w:sz w:val="18"/>
          <w:szCs w:val="18"/>
        </w:rPr>
        <w:t xml:space="preserve"> antibody. In general, elevated levels of </w:t>
      </w:r>
      <w:proofErr w:type="spellStart"/>
      <w:r>
        <w:rPr>
          <w:rFonts w:ascii="Arial" w:hAnsi="Arial" w:cs="Arial"/>
          <w:bCs/>
          <w:sz w:val="18"/>
          <w:szCs w:val="18"/>
        </w:rPr>
        <w:t>IgE</w:t>
      </w:r>
      <w:proofErr w:type="spellEnd"/>
      <w:r>
        <w:rPr>
          <w:rFonts w:ascii="Arial" w:hAnsi="Arial" w:cs="Arial"/>
          <w:bCs/>
          <w:sz w:val="18"/>
          <w:szCs w:val="18"/>
        </w:rPr>
        <w:t xml:space="preserve"> indicate an increased probability of an </w:t>
      </w:r>
      <w:proofErr w:type="spellStart"/>
      <w:r>
        <w:rPr>
          <w:rFonts w:ascii="Arial" w:hAnsi="Arial" w:cs="Arial"/>
          <w:bCs/>
          <w:sz w:val="18"/>
          <w:szCs w:val="18"/>
        </w:rPr>
        <w:t>IgE</w:t>
      </w:r>
      <w:proofErr w:type="spellEnd"/>
      <w:r>
        <w:rPr>
          <w:rFonts w:ascii="Arial" w:hAnsi="Arial" w:cs="Arial"/>
          <w:bCs/>
          <w:sz w:val="18"/>
          <w:szCs w:val="18"/>
        </w:rPr>
        <w:t xml:space="preserve">-mediated hypersensitivity, responsible for allergic reactions. Parasitic infestations such as hookworm and certain clinical disorders including aspergillosis, have also been demonstrated to cause high levels of </w:t>
      </w:r>
      <w:proofErr w:type="spellStart"/>
      <w:r>
        <w:rPr>
          <w:rFonts w:ascii="Arial" w:hAnsi="Arial" w:cs="Arial"/>
          <w:bCs/>
          <w:sz w:val="18"/>
          <w:szCs w:val="18"/>
        </w:rPr>
        <w:t>IgE</w:t>
      </w:r>
      <w:proofErr w:type="spellEnd"/>
      <w:r>
        <w:rPr>
          <w:rFonts w:ascii="Arial" w:hAnsi="Arial" w:cs="Arial"/>
          <w:bCs/>
          <w:sz w:val="18"/>
          <w:szCs w:val="18"/>
        </w:rPr>
        <w:t xml:space="preserve">. Decreased levels of </w:t>
      </w:r>
      <w:proofErr w:type="spellStart"/>
      <w:r>
        <w:rPr>
          <w:rFonts w:ascii="Arial" w:hAnsi="Arial" w:cs="Arial"/>
          <w:bCs/>
          <w:sz w:val="18"/>
          <w:szCs w:val="18"/>
        </w:rPr>
        <w:t>IgE</w:t>
      </w:r>
      <w:proofErr w:type="spellEnd"/>
      <w:r>
        <w:rPr>
          <w:rFonts w:ascii="Arial" w:hAnsi="Arial" w:cs="Arial"/>
          <w:bCs/>
          <w:sz w:val="18"/>
          <w:szCs w:val="18"/>
        </w:rPr>
        <w:t xml:space="preserve"> are found in cases of hypogammaglobulinemia, autoimmune diseases, ulcerative colitis, hepatitis, cancer, and malaria. Cord blood or serum </w:t>
      </w:r>
      <w:proofErr w:type="spellStart"/>
      <w:r>
        <w:rPr>
          <w:rFonts w:ascii="Arial" w:hAnsi="Arial" w:cs="Arial"/>
          <w:bCs/>
          <w:sz w:val="18"/>
          <w:szCs w:val="18"/>
        </w:rPr>
        <w:t>IgE</w:t>
      </w:r>
      <w:proofErr w:type="spellEnd"/>
      <w:r>
        <w:rPr>
          <w:rFonts w:ascii="Arial" w:hAnsi="Arial" w:cs="Arial"/>
          <w:bCs/>
          <w:sz w:val="18"/>
          <w:szCs w:val="18"/>
        </w:rPr>
        <w:t xml:space="preserve"> levels may have prognostic value in assessing the risk of future allergic conditions in children. The </w:t>
      </w:r>
      <w:proofErr w:type="spellStart"/>
      <w:r>
        <w:rPr>
          <w:rFonts w:ascii="Arial" w:hAnsi="Arial" w:cs="Arial"/>
          <w:bCs/>
          <w:sz w:val="18"/>
          <w:szCs w:val="18"/>
        </w:rPr>
        <w:t>IgE</w:t>
      </w:r>
      <w:proofErr w:type="spellEnd"/>
      <w:r>
        <w:rPr>
          <w:rFonts w:ascii="Arial" w:hAnsi="Arial" w:cs="Arial"/>
          <w:bCs/>
          <w:sz w:val="18"/>
          <w:szCs w:val="18"/>
        </w:rPr>
        <w:t xml:space="preserve"> serum concentration in a patient is dependent on both the extent of the allergic reaction and the number of different allergens to which he is sensitized. Nonallergic normal individuals have </w:t>
      </w:r>
      <w:proofErr w:type="spellStart"/>
      <w:r>
        <w:rPr>
          <w:rFonts w:ascii="Arial" w:hAnsi="Arial" w:cs="Arial"/>
          <w:bCs/>
          <w:sz w:val="18"/>
          <w:szCs w:val="18"/>
        </w:rPr>
        <w:t>IgE</w:t>
      </w:r>
      <w:proofErr w:type="spellEnd"/>
      <w:r>
        <w:rPr>
          <w:rFonts w:ascii="Arial" w:hAnsi="Arial" w:cs="Arial"/>
          <w:bCs/>
          <w:sz w:val="18"/>
          <w:szCs w:val="18"/>
        </w:rPr>
        <w:t xml:space="preserve"> concentrations that vary widely and increase steadily during childhood, reaching their highest levels at age 15 to 20, and there after remaining constant until about age 60, when they slowly decline. Patients with atopic allergic diseases such as atopic asthma, atopic dermatitis, and hay fever have been shown to exhibit increased total immunoglobulin E (</w:t>
      </w:r>
      <w:proofErr w:type="spellStart"/>
      <w:r>
        <w:rPr>
          <w:rFonts w:ascii="Arial" w:hAnsi="Arial" w:cs="Arial"/>
          <w:bCs/>
          <w:sz w:val="18"/>
          <w:szCs w:val="18"/>
        </w:rPr>
        <w:t>IgE</w:t>
      </w:r>
      <w:proofErr w:type="spellEnd"/>
      <w:r>
        <w:rPr>
          <w:rFonts w:ascii="Arial" w:hAnsi="Arial" w:cs="Arial"/>
          <w:bCs/>
          <w:sz w:val="18"/>
          <w:szCs w:val="18"/>
        </w:rPr>
        <w:t xml:space="preserve">) levels in blood. The </w:t>
      </w:r>
      <w:proofErr w:type="spellStart"/>
      <w:r>
        <w:rPr>
          <w:rFonts w:ascii="Arial" w:hAnsi="Arial" w:cs="Arial"/>
          <w:bCs/>
          <w:sz w:val="18"/>
          <w:szCs w:val="18"/>
        </w:rPr>
        <w:t>IgE</w:t>
      </w:r>
      <w:proofErr w:type="spellEnd"/>
      <w:r>
        <w:rPr>
          <w:rFonts w:ascii="Arial" w:hAnsi="Arial" w:cs="Arial"/>
          <w:bCs/>
          <w:sz w:val="18"/>
          <w:szCs w:val="18"/>
        </w:rPr>
        <w:t xml:space="preserve"> Quantitative Enzyme Immunoassay provides a rapid, sensitive, and reliable assay for total serum </w:t>
      </w:r>
      <w:proofErr w:type="spellStart"/>
      <w:r>
        <w:rPr>
          <w:rFonts w:ascii="Arial" w:hAnsi="Arial" w:cs="Arial"/>
          <w:bCs/>
          <w:sz w:val="18"/>
          <w:szCs w:val="18"/>
        </w:rPr>
        <w:t>IgE</w:t>
      </w:r>
      <w:proofErr w:type="spellEnd"/>
      <w:r>
        <w:rPr>
          <w:rFonts w:ascii="Arial" w:hAnsi="Arial" w:cs="Arial"/>
          <w:bCs/>
          <w:sz w:val="18"/>
          <w:szCs w:val="18"/>
        </w:rPr>
        <w:t>.</w:t>
      </w:r>
    </w:p>
    <w:p w14:paraId="359D8985" w14:textId="77777777" w:rsidR="00DD751D" w:rsidRDefault="00000000">
      <w:pPr>
        <w:tabs>
          <w:tab w:val="left" w:pos="360"/>
        </w:tabs>
        <w:ind w:firstLineChars="250" w:firstLine="450"/>
        <w:rPr>
          <w:rFonts w:ascii="Arial" w:hAnsi="Arial" w:cs="Arial"/>
          <w:bCs/>
          <w:sz w:val="18"/>
          <w:szCs w:val="18"/>
        </w:rPr>
      </w:pPr>
      <w:r>
        <w:rPr>
          <w:rFonts w:ascii="Arial" w:hAnsi="Arial" w:cs="Arial"/>
          <w:bCs/>
          <w:sz w:val="18"/>
          <w:szCs w:val="18"/>
        </w:rPr>
        <w:t>PRINCIPLE OF THE ASSAY</w:t>
      </w:r>
    </w:p>
    <w:p w14:paraId="77B18F1A" w14:textId="77777777" w:rsidR="00DD751D" w:rsidRDefault="00000000">
      <w:pPr>
        <w:tabs>
          <w:tab w:val="left" w:pos="360"/>
        </w:tabs>
        <w:ind w:left="426" w:hanging="66"/>
        <w:jc w:val="both"/>
        <w:rPr>
          <w:rFonts w:ascii="Arial" w:hAnsi="Arial" w:cs="Arial"/>
          <w:bCs/>
          <w:sz w:val="18"/>
          <w:szCs w:val="18"/>
        </w:rPr>
      </w:pPr>
      <w:r>
        <w:rPr>
          <w:rFonts w:ascii="Arial" w:hAnsi="Arial" w:cs="Arial"/>
          <w:bCs/>
          <w:sz w:val="18"/>
          <w:szCs w:val="18"/>
        </w:rPr>
        <w:t xml:space="preserve"> The </w:t>
      </w:r>
      <w:proofErr w:type="spellStart"/>
      <w:r>
        <w:rPr>
          <w:rFonts w:ascii="Arial" w:hAnsi="Arial" w:cs="Arial"/>
          <w:bCs/>
          <w:sz w:val="18"/>
          <w:szCs w:val="18"/>
        </w:rPr>
        <w:t>IgE</w:t>
      </w:r>
      <w:proofErr w:type="spellEnd"/>
      <w:r>
        <w:rPr>
          <w:rFonts w:ascii="Arial" w:hAnsi="Arial" w:cs="Arial"/>
          <w:bCs/>
          <w:sz w:val="18"/>
          <w:szCs w:val="18"/>
        </w:rPr>
        <w:t xml:space="preserve"> Quantitative Test Kit is based on a solid phase enzyme-linked immunosorbent assay. The assay system utilizes one anti-</w:t>
      </w:r>
      <w:proofErr w:type="spellStart"/>
      <w:r>
        <w:rPr>
          <w:rFonts w:ascii="Arial" w:hAnsi="Arial" w:cs="Arial"/>
          <w:bCs/>
          <w:sz w:val="18"/>
          <w:szCs w:val="18"/>
        </w:rPr>
        <w:t>IgE</w:t>
      </w:r>
      <w:proofErr w:type="spellEnd"/>
      <w:r>
        <w:rPr>
          <w:rFonts w:ascii="Arial" w:hAnsi="Arial" w:cs="Arial"/>
          <w:bCs/>
          <w:sz w:val="18"/>
          <w:szCs w:val="18"/>
        </w:rPr>
        <w:t xml:space="preserve"> antibody for solid phase (microtiter wells) immobilization and another anti-</w:t>
      </w:r>
      <w:proofErr w:type="spellStart"/>
      <w:r>
        <w:rPr>
          <w:rFonts w:ascii="Arial" w:hAnsi="Arial" w:cs="Arial"/>
          <w:bCs/>
          <w:sz w:val="18"/>
          <w:szCs w:val="18"/>
        </w:rPr>
        <w:t>IgE</w:t>
      </w:r>
      <w:proofErr w:type="spellEnd"/>
      <w:r>
        <w:rPr>
          <w:rFonts w:ascii="Arial" w:hAnsi="Arial" w:cs="Arial"/>
          <w:bCs/>
          <w:sz w:val="18"/>
          <w:szCs w:val="18"/>
        </w:rPr>
        <w:t xml:space="preserve"> antibody in the antibody-enzyme (horseradish peroxidase) conjugate solution. The test specimen (serum) is added to the </w:t>
      </w:r>
      <w:proofErr w:type="spellStart"/>
      <w:r>
        <w:rPr>
          <w:rFonts w:ascii="Arial" w:hAnsi="Arial" w:cs="Arial"/>
          <w:bCs/>
          <w:sz w:val="18"/>
          <w:szCs w:val="18"/>
        </w:rPr>
        <w:t>IgE</w:t>
      </w:r>
      <w:proofErr w:type="spellEnd"/>
      <w:r>
        <w:rPr>
          <w:rFonts w:ascii="Arial" w:hAnsi="Arial" w:cs="Arial"/>
          <w:bCs/>
          <w:sz w:val="18"/>
          <w:szCs w:val="18"/>
        </w:rPr>
        <w:t xml:space="preserve"> antibody coated microwells and incubated with the Zero Buffer. If human </w:t>
      </w:r>
      <w:proofErr w:type="spellStart"/>
      <w:r>
        <w:rPr>
          <w:rFonts w:ascii="Arial" w:hAnsi="Arial" w:cs="Arial"/>
          <w:bCs/>
          <w:sz w:val="18"/>
          <w:szCs w:val="18"/>
        </w:rPr>
        <w:t>IgE</w:t>
      </w:r>
      <w:proofErr w:type="spellEnd"/>
      <w:r>
        <w:rPr>
          <w:rFonts w:ascii="Arial" w:hAnsi="Arial" w:cs="Arial"/>
          <w:bCs/>
          <w:sz w:val="18"/>
          <w:szCs w:val="18"/>
        </w:rPr>
        <w:t xml:space="preserve"> is present in the specimen, it will combine with the antibody on the well. The well is then washed to remove any residual test specimen and </w:t>
      </w:r>
      <w:proofErr w:type="spellStart"/>
      <w:r>
        <w:rPr>
          <w:rFonts w:ascii="Arial" w:hAnsi="Arial" w:cs="Arial"/>
          <w:bCs/>
          <w:sz w:val="18"/>
          <w:szCs w:val="18"/>
        </w:rPr>
        <w:t>IgE</w:t>
      </w:r>
      <w:proofErr w:type="spellEnd"/>
      <w:r>
        <w:rPr>
          <w:rFonts w:ascii="Arial" w:hAnsi="Arial" w:cs="Arial"/>
          <w:bCs/>
          <w:sz w:val="18"/>
          <w:szCs w:val="18"/>
        </w:rPr>
        <w:t xml:space="preserve"> antibody labeled with horseradish peroxidase (conjugate) is added. The conjugate will bind immunologically to the </w:t>
      </w:r>
      <w:proofErr w:type="spellStart"/>
      <w:r>
        <w:rPr>
          <w:rFonts w:ascii="Arial" w:hAnsi="Arial" w:cs="Arial"/>
          <w:bCs/>
          <w:sz w:val="18"/>
          <w:szCs w:val="18"/>
        </w:rPr>
        <w:t>IgE</w:t>
      </w:r>
      <w:proofErr w:type="spellEnd"/>
      <w:r>
        <w:rPr>
          <w:rFonts w:ascii="Arial" w:hAnsi="Arial" w:cs="Arial"/>
          <w:bCs/>
          <w:sz w:val="18"/>
          <w:szCs w:val="18"/>
        </w:rPr>
        <w:t xml:space="preserve"> on the well, resulting in the </w:t>
      </w:r>
      <w:proofErr w:type="spellStart"/>
      <w:r>
        <w:rPr>
          <w:rFonts w:ascii="Arial" w:hAnsi="Arial" w:cs="Arial"/>
          <w:bCs/>
          <w:sz w:val="18"/>
          <w:szCs w:val="18"/>
        </w:rPr>
        <w:t>IgE</w:t>
      </w:r>
      <w:proofErr w:type="spellEnd"/>
      <w:r>
        <w:rPr>
          <w:rFonts w:ascii="Arial" w:hAnsi="Arial" w:cs="Arial"/>
          <w:bCs/>
          <w:sz w:val="18"/>
          <w:szCs w:val="18"/>
        </w:rPr>
        <w:t xml:space="preserve"> molecules being sandwiched between the solid phase and enzyme-linked antibodies. After </w:t>
      </w:r>
      <w:proofErr w:type="spellStart"/>
      <w:proofErr w:type="gramStart"/>
      <w:r>
        <w:rPr>
          <w:rFonts w:ascii="Arial" w:hAnsi="Arial" w:cs="Arial"/>
          <w:bCs/>
          <w:sz w:val="18"/>
          <w:szCs w:val="18"/>
        </w:rPr>
        <w:t>a</w:t>
      </w:r>
      <w:proofErr w:type="spellEnd"/>
      <w:proofErr w:type="gramEnd"/>
      <w:r>
        <w:rPr>
          <w:rFonts w:ascii="Arial" w:hAnsi="Arial" w:cs="Arial"/>
          <w:bCs/>
          <w:sz w:val="18"/>
          <w:szCs w:val="18"/>
        </w:rPr>
        <w:t xml:space="preserve"> incubation at room temperature, the wells are washed with Wash Buffer to remove unbound labeled antibodies. A</w:t>
      </w:r>
      <w:r>
        <w:rPr>
          <w:rFonts w:ascii="Arial" w:hAnsi="Arial" w:cs="Arial"/>
          <w:bCs/>
          <w:sz w:val="18"/>
          <w:szCs w:val="18"/>
          <w:lang w:val="en-GB"/>
        </w:rPr>
        <w:t xml:space="preserve"> </w:t>
      </w:r>
      <w:r>
        <w:rPr>
          <w:rFonts w:ascii="Arial" w:hAnsi="Arial" w:cs="Arial"/>
          <w:bCs/>
          <w:sz w:val="18"/>
          <w:szCs w:val="18"/>
        </w:rPr>
        <w:t xml:space="preserve">solution of TMB is added and incubated for 20 minutes, resulting in the development of a blue color. The color development is stopped with the addition of Stop Solution, and the color is changed to yellow and measured spectrophotometrically at 450 nm. The concentration of </w:t>
      </w:r>
      <w:proofErr w:type="spellStart"/>
      <w:r>
        <w:rPr>
          <w:rFonts w:ascii="Arial" w:hAnsi="Arial" w:cs="Arial"/>
          <w:bCs/>
          <w:sz w:val="18"/>
          <w:szCs w:val="18"/>
        </w:rPr>
        <w:t>IgE</w:t>
      </w:r>
      <w:proofErr w:type="spellEnd"/>
      <w:r>
        <w:rPr>
          <w:rFonts w:ascii="Arial" w:hAnsi="Arial" w:cs="Arial"/>
          <w:bCs/>
          <w:sz w:val="18"/>
          <w:szCs w:val="18"/>
        </w:rPr>
        <w:t xml:space="preserve"> is directly proportional to the color intensity of the test sample. </w:t>
      </w:r>
    </w:p>
    <w:p w14:paraId="71CBC5D7" w14:textId="77777777" w:rsidR="00DD751D" w:rsidRDefault="00DD751D">
      <w:pPr>
        <w:tabs>
          <w:tab w:val="left" w:pos="360"/>
        </w:tabs>
        <w:ind w:left="426" w:hanging="66"/>
        <w:jc w:val="both"/>
        <w:rPr>
          <w:rFonts w:ascii="Arial" w:hAnsi="Arial" w:cs="Arial"/>
          <w:bCs/>
          <w:sz w:val="18"/>
          <w:szCs w:val="18"/>
        </w:rPr>
      </w:pPr>
    </w:p>
    <w:p w14:paraId="3171AA70" w14:textId="77777777" w:rsidR="00DD751D" w:rsidRDefault="00000000">
      <w:pPr>
        <w:tabs>
          <w:tab w:val="left" w:pos="360"/>
        </w:tabs>
        <w:ind w:left="360"/>
        <w:jc w:val="both"/>
        <w:rPr>
          <w:rFonts w:ascii="Arial" w:hAnsi="Arial" w:cs="Arial"/>
          <w:bCs/>
          <w:sz w:val="18"/>
          <w:szCs w:val="18"/>
        </w:rPr>
      </w:pPr>
      <w:r>
        <w:rPr>
          <w:rFonts w:ascii="Arial" w:hAnsi="Arial" w:cs="Arial"/>
          <w:bCs/>
          <w:sz w:val="18"/>
          <w:szCs w:val="18"/>
        </w:rPr>
        <w:t xml:space="preserve">MATERIALS AND COMPONENTS </w:t>
      </w:r>
    </w:p>
    <w:p w14:paraId="70A462BA" w14:textId="77777777" w:rsidR="00DD751D" w:rsidRDefault="00000000">
      <w:pPr>
        <w:tabs>
          <w:tab w:val="left" w:pos="360"/>
        </w:tabs>
        <w:ind w:left="360"/>
        <w:jc w:val="both"/>
        <w:rPr>
          <w:rFonts w:ascii="Arial" w:hAnsi="Arial" w:cs="Arial"/>
          <w:bCs/>
          <w:sz w:val="18"/>
          <w:szCs w:val="18"/>
        </w:rPr>
      </w:pPr>
      <w:r>
        <w:rPr>
          <w:rFonts w:ascii="Arial" w:hAnsi="Arial" w:cs="Arial"/>
          <w:bCs/>
          <w:sz w:val="18"/>
          <w:szCs w:val="18"/>
        </w:rPr>
        <w:t xml:space="preserve">Materials provided with the test kits: </w:t>
      </w:r>
    </w:p>
    <w:p w14:paraId="6D6C63D1" w14:textId="77777777" w:rsidR="00DD751D"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 xml:space="preserve">Coated Microwells: Microwells coated with anti- </w:t>
      </w:r>
      <w:proofErr w:type="spellStart"/>
      <w:r>
        <w:rPr>
          <w:rFonts w:ascii="Arial" w:hAnsi="Arial" w:cs="Arial"/>
          <w:bCs/>
          <w:sz w:val="18"/>
          <w:szCs w:val="18"/>
        </w:rPr>
        <w:t>IgE</w:t>
      </w:r>
      <w:proofErr w:type="spellEnd"/>
      <w:r>
        <w:rPr>
          <w:rFonts w:ascii="Arial" w:hAnsi="Arial" w:cs="Arial"/>
          <w:bCs/>
          <w:sz w:val="18"/>
          <w:szCs w:val="18"/>
        </w:rPr>
        <w:t xml:space="preserve"> antibody. </w:t>
      </w:r>
    </w:p>
    <w:p w14:paraId="723E38A4" w14:textId="77777777" w:rsidR="00DD751D"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Zero Buffer. Ready to use</w:t>
      </w:r>
    </w:p>
    <w:p w14:paraId="580FE530" w14:textId="77777777" w:rsidR="00DD751D"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Enzyme Conjugate. Ready to use.</w:t>
      </w:r>
    </w:p>
    <w:p w14:paraId="74D834C8" w14:textId="77777777" w:rsidR="00DD751D"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 xml:space="preserve">TMB Substrate. Ready to use. </w:t>
      </w:r>
    </w:p>
    <w:p w14:paraId="256DCE66" w14:textId="77777777" w:rsidR="00DD751D"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 xml:space="preserve">Stop Solution. Ready to use. </w:t>
      </w:r>
    </w:p>
    <w:p w14:paraId="0093EEB5" w14:textId="77777777" w:rsidR="00DD751D" w:rsidRDefault="00000000">
      <w:pPr>
        <w:pStyle w:val="ListParagraph"/>
        <w:numPr>
          <w:ilvl w:val="0"/>
          <w:numId w:val="1"/>
        </w:numPr>
        <w:tabs>
          <w:tab w:val="left" w:pos="360"/>
        </w:tabs>
        <w:jc w:val="both"/>
        <w:rPr>
          <w:rFonts w:ascii="Arial" w:hAnsi="Arial" w:cs="Arial"/>
          <w:bCs/>
          <w:sz w:val="18"/>
          <w:szCs w:val="18"/>
        </w:rPr>
      </w:pPr>
      <w:proofErr w:type="spellStart"/>
      <w:r>
        <w:rPr>
          <w:rFonts w:ascii="Arial" w:hAnsi="Arial" w:cs="Arial"/>
          <w:bCs/>
          <w:sz w:val="18"/>
          <w:szCs w:val="18"/>
        </w:rPr>
        <w:t>IgE</w:t>
      </w:r>
      <w:proofErr w:type="spellEnd"/>
      <w:r>
        <w:rPr>
          <w:rFonts w:ascii="Arial" w:hAnsi="Arial" w:cs="Arial"/>
          <w:bCs/>
          <w:sz w:val="18"/>
          <w:szCs w:val="18"/>
        </w:rPr>
        <w:t xml:space="preserve"> Standard set of 6 standards labeled as A to F in liquid form. Ready to use. For standard Concentrations refer vial label.</w:t>
      </w:r>
    </w:p>
    <w:p w14:paraId="46394C74" w14:textId="77777777" w:rsidR="00DD751D"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Wash Buffer Concentrate (20X).</w:t>
      </w:r>
    </w:p>
    <w:p w14:paraId="1F36C88C" w14:textId="77777777" w:rsidR="00DD751D"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Control Set</w:t>
      </w:r>
    </w:p>
    <w:p w14:paraId="13B86FF7" w14:textId="77777777" w:rsidR="00DD751D"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Pack Insert</w:t>
      </w:r>
    </w:p>
    <w:p w14:paraId="25AC06B0" w14:textId="77777777" w:rsidR="00DD751D"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Plate Sealer</w:t>
      </w:r>
    </w:p>
    <w:p w14:paraId="53894B01" w14:textId="77777777" w:rsidR="00DD751D"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 xml:space="preserve">Protocol Sheet </w:t>
      </w:r>
    </w:p>
    <w:p w14:paraId="550F40A0" w14:textId="77777777" w:rsidR="00DD751D"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Microwell Holder</w:t>
      </w:r>
    </w:p>
    <w:p w14:paraId="452F1D1B" w14:textId="77777777" w:rsidR="00DD751D" w:rsidRDefault="00DD751D">
      <w:pPr>
        <w:tabs>
          <w:tab w:val="left" w:pos="360"/>
        </w:tabs>
        <w:ind w:left="360"/>
        <w:jc w:val="both"/>
        <w:rPr>
          <w:rFonts w:ascii="Arial" w:hAnsi="Arial" w:cs="Arial"/>
          <w:bCs/>
          <w:sz w:val="18"/>
          <w:szCs w:val="18"/>
        </w:rPr>
      </w:pPr>
    </w:p>
    <w:p w14:paraId="3B7C6CA0" w14:textId="77777777" w:rsidR="00DD751D" w:rsidRDefault="00000000">
      <w:pPr>
        <w:tabs>
          <w:tab w:val="left" w:pos="360"/>
        </w:tabs>
        <w:ind w:left="360"/>
        <w:jc w:val="both"/>
        <w:rPr>
          <w:rFonts w:ascii="Arial" w:hAnsi="Arial" w:cs="Arial"/>
          <w:bCs/>
          <w:sz w:val="18"/>
          <w:szCs w:val="18"/>
        </w:rPr>
      </w:pPr>
      <w:r>
        <w:rPr>
          <w:rFonts w:ascii="Arial" w:hAnsi="Arial" w:cs="Arial"/>
          <w:bCs/>
          <w:sz w:val="18"/>
          <w:szCs w:val="18"/>
        </w:rPr>
        <w:t xml:space="preserve">Materials required but not provided </w:t>
      </w:r>
    </w:p>
    <w:p w14:paraId="2F600B78" w14:textId="77777777" w:rsidR="00DD751D"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 xml:space="preserve">Precision pipettes: 10µl, 20-200µl, 100-1000µl </w:t>
      </w:r>
    </w:p>
    <w:p w14:paraId="12A4D02A" w14:textId="77777777" w:rsidR="00DD751D"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Disposable pipette tips</w:t>
      </w:r>
    </w:p>
    <w:p w14:paraId="57D29F5E" w14:textId="77777777" w:rsidR="00DD751D"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Distilled water</w:t>
      </w:r>
    </w:p>
    <w:p w14:paraId="4638B742" w14:textId="77777777" w:rsidR="00DD751D"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Disposable Gloves</w:t>
      </w:r>
    </w:p>
    <w:p w14:paraId="08DB3E37" w14:textId="77777777" w:rsidR="00DD751D"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ELISA reader</w:t>
      </w:r>
    </w:p>
    <w:p w14:paraId="5DEE7249" w14:textId="77777777" w:rsidR="00DD751D"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 xml:space="preserve">ELISA washer </w:t>
      </w:r>
    </w:p>
    <w:p w14:paraId="1FA33E1A" w14:textId="77777777" w:rsidR="00DD751D" w:rsidRDefault="00DD751D">
      <w:pPr>
        <w:tabs>
          <w:tab w:val="left" w:pos="360"/>
        </w:tabs>
        <w:ind w:left="426" w:hanging="66"/>
        <w:jc w:val="both"/>
        <w:rPr>
          <w:rFonts w:ascii="Arial" w:hAnsi="Arial" w:cs="Arial"/>
          <w:bCs/>
          <w:sz w:val="18"/>
          <w:szCs w:val="18"/>
        </w:rPr>
      </w:pPr>
    </w:p>
    <w:p w14:paraId="54922E48" w14:textId="77777777" w:rsidR="00DD751D" w:rsidRDefault="00000000">
      <w:pPr>
        <w:tabs>
          <w:tab w:val="left" w:pos="360"/>
        </w:tabs>
        <w:ind w:left="426" w:hanging="66"/>
        <w:jc w:val="both"/>
        <w:rPr>
          <w:rFonts w:ascii="Arial" w:hAnsi="Arial" w:cs="Arial"/>
          <w:bCs/>
          <w:sz w:val="18"/>
          <w:szCs w:val="18"/>
        </w:rPr>
      </w:pPr>
      <w:r>
        <w:rPr>
          <w:rFonts w:ascii="Arial" w:hAnsi="Arial" w:cs="Arial"/>
          <w:bCs/>
          <w:sz w:val="18"/>
          <w:szCs w:val="18"/>
        </w:rPr>
        <w:t xml:space="preserve">STORAGE AND STABILITY </w:t>
      </w:r>
    </w:p>
    <w:p w14:paraId="07065AE6" w14:textId="77777777" w:rsidR="00DD751D" w:rsidRDefault="00000000">
      <w:pPr>
        <w:pStyle w:val="ListParagraph"/>
        <w:numPr>
          <w:ilvl w:val="0"/>
          <w:numId w:val="3"/>
        </w:numPr>
        <w:tabs>
          <w:tab w:val="left" w:pos="360"/>
        </w:tabs>
        <w:jc w:val="both"/>
        <w:rPr>
          <w:rFonts w:ascii="Arial" w:hAnsi="Arial" w:cs="Arial"/>
          <w:bCs/>
          <w:sz w:val="18"/>
          <w:szCs w:val="18"/>
        </w:rPr>
      </w:pPr>
      <w:proofErr w:type="spellStart"/>
      <w:r>
        <w:rPr>
          <w:rFonts w:ascii="Arial" w:hAnsi="Arial" w:cs="Arial"/>
          <w:bCs/>
          <w:sz w:val="18"/>
          <w:szCs w:val="18"/>
        </w:rPr>
        <w:t>IgE</w:t>
      </w:r>
      <w:proofErr w:type="spellEnd"/>
      <w:r>
        <w:rPr>
          <w:rFonts w:ascii="Arial" w:hAnsi="Arial" w:cs="Arial"/>
          <w:bCs/>
          <w:sz w:val="18"/>
          <w:szCs w:val="18"/>
        </w:rPr>
        <w:t xml:space="preserve"> kit is stable at 2-8°C </w:t>
      </w:r>
      <w:proofErr w:type="spellStart"/>
      <w:r>
        <w:rPr>
          <w:rFonts w:ascii="Arial" w:hAnsi="Arial" w:cs="Arial"/>
          <w:bCs/>
          <w:sz w:val="18"/>
          <w:szCs w:val="18"/>
        </w:rPr>
        <w:t>upto</w:t>
      </w:r>
      <w:proofErr w:type="spellEnd"/>
      <w:r>
        <w:rPr>
          <w:rFonts w:ascii="Arial" w:hAnsi="Arial" w:cs="Arial"/>
          <w:bCs/>
          <w:sz w:val="18"/>
          <w:szCs w:val="18"/>
        </w:rPr>
        <w:t xml:space="preserve"> expiry date printed on the label.</w:t>
      </w:r>
    </w:p>
    <w:p w14:paraId="19D9DBC2" w14:textId="77777777" w:rsidR="00DD751D"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 xml:space="preserve">Coated Microwells should be used within one month upon opening the pouch provided that once opened, the pouch must be resealed to protect from moisture. If the </w:t>
      </w:r>
      <w:proofErr w:type="spellStart"/>
      <w:r>
        <w:rPr>
          <w:rFonts w:ascii="Arial" w:hAnsi="Arial" w:cs="Arial"/>
          <w:bCs/>
          <w:sz w:val="18"/>
          <w:szCs w:val="18"/>
        </w:rPr>
        <w:t>colour</w:t>
      </w:r>
      <w:proofErr w:type="spellEnd"/>
      <w:r>
        <w:rPr>
          <w:rFonts w:ascii="Arial" w:hAnsi="Arial" w:cs="Arial"/>
          <w:bCs/>
          <w:sz w:val="18"/>
          <w:szCs w:val="18"/>
        </w:rPr>
        <w:t xml:space="preserve"> of the desiccant has changed from blue to pink at the time of opening the pouch, another coated Microwells pouch should be used. </w:t>
      </w:r>
    </w:p>
    <w:p w14:paraId="55D06FC7" w14:textId="77777777" w:rsidR="00DD751D"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 xml:space="preserve">Diluted Wash Buffer is stable for </w:t>
      </w:r>
      <w:proofErr w:type="spellStart"/>
      <w:r>
        <w:rPr>
          <w:rFonts w:ascii="Arial" w:hAnsi="Arial" w:cs="Arial"/>
          <w:bCs/>
          <w:sz w:val="18"/>
          <w:szCs w:val="18"/>
        </w:rPr>
        <w:t>upto</w:t>
      </w:r>
      <w:proofErr w:type="spellEnd"/>
      <w:r>
        <w:rPr>
          <w:rFonts w:ascii="Arial" w:hAnsi="Arial" w:cs="Arial"/>
          <w:bCs/>
          <w:sz w:val="18"/>
          <w:szCs w:val="18"/>
        </w:rPr>
        <w:t xml:space="preserve"> one week when stored at 2-8°C.</w:t>
      </w:r>
    </w:p>
    <w:p w14:paraId="385CF804" w14:textId="77777777" w:rsidR="00DD751D" w:rsidRDefault="00DD751D">
      <w:pPr>
        <w:tabs>
          <w:tab w:val="left" w:pos="360"/>
        </w:tabs>
        <w:ind w:left="426" w:hanging="66"/>
        <w:jc w:val="both"/>
        <w:rPr>
          <w:rFonts w:ascii="Arial" w:hAnsi="Arial" w:cs="Arial"/>
          <w:bCs/>
          <w:sz w:val="18"/>
          <w:szCs w:val="18"/>
        </w:rPr>
      </w:pPr>
    </w:p>
    <w:p w14:paraId="61A3794F" w14:textId="77777777" w:rsidR="00DD751D" w:rsidRDefault="00000000">
      <w:pPr>
        <w:tabs>
          <w:tab w:val="left" w:pos="360"/>
        </w:tabs>
        <w:ind w:left="426" w:hanging="66"/>
        <w:jc w:val="both"/>
        <w:rPr>
          <w:rFonts w:ascii="Arial" w:hAnsi="Arial" w:cs="Arial"/>
          <w:bCs/>
          <w:sz w:val="18"/>
          <w:szCs w:val="18"/>
        </w:rPr>
      </w:pPr>
      <w:r>
        <w:rPr>
          <w:rFonts w:ascii="Arial" w:hAnsi="Arial" w:cs="Arial"/>
          <w:bCs/>
          <w:sz w:val="18"/>
          <w:szCs w:val="18"/>
        </w:rPr>
        <w:t xml:space="preserve"> SPECIMEN COLLECTION</w:t>
      </w:r>
    </w:p>
    <w:p w14:paraId="5771ACF4" w14:textId="77777777" w:rsidR="00DD751D"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Collect Blood specimen by venipuncture according to standard procedure.</w:t>
      </w:r>
    </w:p>
    <w:p w14:paraId="3F050400" w14:textId="77777777" w:rsidR="00DD751D"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Only serum should be used. </w:t>
      </w:r>
    </w:p>
    <w:p w14:paraId="3E775B67" w14:textId="77777777" w:rsidR="00DD751D"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Avoid grossly hemolytic, lipemic or turbid samples. 4. Preferably use fresh samples. However, specimens can be stored up to 48 hours at 2-8°C, for short duration. </w:t>
      </w:r>
    </w:p>
    <w:p w14:paraId="03FA4B60" w14:textId="77777777" w:rsidR="00DD751D"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For longer storage, specimens can be frozen at -20°C. Thawed samples must be mixed prior to testing. </w:t>
      </w:r>
    </w:p>
    <w:p w14:paraId="342A43E5" w14:textId="77777777" w:rsidR="00DD751D"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Do not heat inactivate before use.</w:t>
      </w:r>
    </w:p>
    <w:p w14:paraId="547B6D80" w14:textId="77777777" w:rsidR="00DD751D"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Specimen containing precipitate or particulate matter should be clarified by centrifugation prior to use.</w:t>
      </w:r>
    </w:p>
    <w:p w14:paraId="1E24A204" w14:textId="77777777" w:rsidR="00DD751D"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Specimen should be free from particulate matter and microbial contamination.</w:t>
      </w:r>
    </w:p>
    <w:p w14:paraId="7E68371C" w14:textId="77777777" w:rsidR="00DD751D" w:rsidRDefault="00DD751D">
      <w:pPr>
        <w:tabs>
          <w:tab w:val="left" w:pos="360"/>
        </w:tabs>
        <w:ind w:left="426" w:hanging="66"/>
        <w:jc w:val="both"/>
        <w:rPr>
          <w:rFonts w:ascii="Arial" w:hAnsi="Arial" w:cs="Arial"/>
          <w:bCs/>
          <w:sz w:val="18"/>
          <w:szCs w:val="18"/>
        </w:rPr>
      </w:pPr>
    </w:p>
    <w:p w14:paraId="7F172E32" w14:textId="77777777" w:rsidR="00DD751D" w:rsidRDefault="00000000">
      <w:pPr>
        <w:tabs>
          <w:tab w:val="left" w:pos="360"/>
        </w:tabs>
        <w:ind w:left="426" w:hanging="66"/>
        <w:jc w:val="both"/>
        <w:rPr>
          <w:rFonts w:ascii="Arial" w:hAnsi="Arial" w:cs="Arial"/>
          <w:bCs/>
          <w:sz w:val="18"/>
          <w:szCs w:val="18"/>
        </w:rPr>
      </w:pPr>
      <w:r>
        <w:rPr>
          <w:rFonts w:ascii="Arial" w:hAnsi="Arial" w:cs="Arial"/>
          <w:bCs/>
          <w:sz w:val="18"/>
          <w:szCs w:val="18"/>
        </w:rPr>
        <w:t xml:space="preserve"> PRECAUTIONS </w:t>
      </w:r>
    </w:p>
    <w:p w14:paraId="37542C46" w14:textId="77777777" w:rsidR="00DD751D"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Bring all reagents and specimen to room temperature before use. </w:t>
      </w:r>
    </w:p>
    <w:p w14:paraId="333359DD" w14:textId="77777777" w:rsidR="00DD751D"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Do not pipette any material by mouth.</w:t>
      </w:r>
    </w:p>
    <w:p w14:paraId="540B445B" w14:textId="77777777" w:rsidR="00DD751D"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eat, drink or smoke in the area where testing is done. </w:t>
      </w:r>
    </w:p>
    <w:p w14:paraId="4F4A456D" w14:textId="77777777" w:rsidR="00DD751D"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Use protective clothing and wear gloves when handling samples. </w:t>
      </w:r>
    </w:p>
    <w:p w14:paraId="6F5655CA" w14:textId="77777777" w:rsidR="00DD751D"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lastRenderedPageBreak/>
        <w:t>Use absorbent sheet to cover the working area.</w:t>
      </w:r>
    </w:p>
    <w:p w14:paraId="5E261580" w14:textId="77777777" w:rsidR="00DD751D"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Immediately clean up any spills with sodium hypochlorite. </w:t>
      </w:r>
    </w:p>
    <w:p w14:paraId="7613B7B9" w14:textId="77777777" w:rsidR="00DD751D"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All specimens, standards and controls should be considered potentially infectious and discarded appropriately.</w:t>
      </w:r>
    </w:p>
    <w:p w14:paraId="6D7C2772" w14:textId="77777777" w:rsidR="00DD751D"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Neutralize acid containing waste before adding hypochlorite.</w:t>
      </w:r>
    </w:p>
    <w:p w14:paraId="4F022857" w14:textId="77777777" w:rsidR="00DD751D"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use kit after the expiry date. </w:t>
      </w:r>
    </w:p>
    <w:p w14:paraId="20D2690D" w14:textId="77777777" w:rsidR="00DD751D"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mix components of one kit with another. </w:t>
      </w:r>
    </w:p>
    <w:p w14:paraId="4314CA39" w14:textId="77777777" w:rsidR="00DD751D" w:rsidRDefault="00000000">
      <w:pPr>
        <w:pStyle w:val="ListParagraph"/>
        <w:tabs>
          <w:tab w:val="left" w:pos="360"/>
        </w:tabs>
        <w:ind w:leftChars="200" w:left="760" w:hangingChars="200" w:hanging="360"/>
        <w:jc w:val="both"/>
        <w:rPr>
          <w:rFonts w:ascii="Arial" w:hAnsi="Arial" w:cs="Arial"/>
          <w:bCs/>
          <w:sz w:val="18"/>
          <w:szCs w:val="18"/>
        </w:rPr>
      </w:pPr>
      <w:r>
        <w:rPr>
          <w:rFonts w:ascii="Arial" w:hAnsi="Arial" w:cs="Arial"/>
          <w:bCs/>
          <w:sz w:val="18"/>
          <w:szCs w:val="18"/>
          <w:lang w:val="en-GB"/>
        </w:rPr>
        <w:t xml:space="preserve">11. </w:t>
      </w:r>
      <w:r>
        <w:rPr>
          <w:rFonts w:ascii="Arial" w:hAnsi="Arial" w:cs="Arial"/>
          <w:bCs/>
          <w:sz w:val="18"/>
          <w:szCs w:val="18"/>
        </w:rPr>
        <w:t xml:space="preserve">Always use new tip for each specimen and </w:t>
      </w:r>
      <w:r>
        <w:rPr>
          <w:rFonts w:ascii="Arial" w:hAnsi="Arial" w:cs="Arial"/>
          <w:bCs/>
          <w:sz w:val="18"/>
          <w:szCs w:val="18"/>
          <w:lang w:val="en-GB"/>
        </w:rPr>
        <w:t xml:space="preserve">         </w:t>
      </w:r>
      <w:r>
        <w:rPr>
          <w:rFonts w:ascii="Arial" w:hAnsi="Arial" w:cs="Arial"/>
          <w:bCs/>
          <w:sz w:val="18"/>
          <w:szCs w:val="18"/>
        </w:rPr>
        <w:t xml:space="preserve">reagent. </w:t>
      </w:r>
    </w:p>
    <w:p w14:paraId="0F9ED6E2" w14:textId="77777777" w:rsidR="00DD751D" w:rsidRDefault="00000000">
      <w:pPr>
        <w:pStyle w:val="ListParagraph"/>
        <w:tabs>
          <w:tab w:val="left" w:pos="360"/>
        </w:tabs>
        <w:ind w:leftChars="200" w:left="760" w:hangingChars="200" w:hanging="360"/>
        <w:jc w:val="both"/>
        <w:rPr>
          <w:rFonts w:ascii="Arial" w:hAnsi="Arial" w:cs="Arial"/>
          <w:bCs/>
          <w:sz w:val="18"/>
          <w:szCs w:val="18"/>
        </w:rPr>
      </w:pPr>
      <w:r>
        <w:rPr>
          <w:rFonts w:ascii="Arial" w:hAnsi="Arial" w:cs="Arial"/>
          <w:bCs/>
          <w:sz w:val="18"/>
          <w:szCs w:val="18"/>
          <w:lang w:val="en-GB"/>
        </w:rPr>
        <w:t xml:space="preserve">12. </w:t>
      </w:r>
      <w:r>
        <w:rPr>
          <w:rFonts w:ascii="Arial" w:hAnsi="Arial" w:cs="Arial"/>
          <w:bCs/>
          <w:sz w:val="18"/>
          <w:szCs w:val="18"/>
        </w:rPr>
        <w:t xml:space="preserve">Do not allow liquid from one well to mix with other wells. </w:t>
      </w:r>
    </w:p>
    <w:p w14:paraId="5BA65E56" w14:textId="77777777" w:rsidR="00DD751D" w:rsidRDefault="00000000">
      <w:pPr>
        <w:pStyle w:val="ListParagraph"/>
        <w:tabs>
          <w:tab w:val="left" w:pos="360"/>
        </w:tabs>
        <w:ind w:left="0" w:firstLineChars="222" w:firstLine="400"/>
        <w:jc w:val="both"/>
        <w:rPr>
          <w:rFonts w:ascii="Arial" w:hAnsi="Arial" w:cs="Arial"/>
          <w:bCs/>
          <w:sz w:val="18"/>
          <w:szCs w:val="18"/>
        </w:rPr>
      </w:pPr>
      <w:r>
        <w:rPr>
          <w:rFonts w:ascii="Arial" w:hAnsi="Arial" w:cs="Arial"/>
          <w:bCs/>
          <w:sz w:val="18"/>
          <w:szCs w:val="18"/>
          <w:lang w:val="en-GB"/>
        </w:rPr>
        <w:t xml:space="preserve">13.  </w:t>
      </w:r>
      <w:r>
        <w:rPr>
          <w:rFonts w:ascii="Arial" w:hAnsi="Arial" w:cs="Arial"/>
          <w:bCs/>
          <w:sz w:val="18"/>
          <w:szCs w:val="18"/>
        </w:rPr>
        <w:t xml:space="preserve">Do not let the strips dry in between the steps. </w:t>
      </w:r>
    </w:p>
    <w:p w14:paraId="187DF8F7" w14:textId="77777777" w:rsidR="00DD751D" w:rsidRDefault="00DD751D">
      <w:pPr>
        <w:tabs>
          <w:tab w:val="left" w:pos="360"/>
        </w:tabs>
        <w:ind w:left="426" w:hanging="66"/>
        <w:jc w:val="both"/>
        <w:rPr>
          <w:rFonts w:ascii="Arial" w:hAnsi="Arial" w:cs="Arial"/>
          <w:bCs/>
          <w:sz w:val="18"/>
          <w:szCs w:val="18"/>
        </w:rPr>
      </w:pPr>
    </w:p>
    <w:p w14:paraId="33C4C88A" w14:textId="77777777" w:rsidR="00DD751D" w:rsidRDefault="00DD751D">
      <w:pPr>
        <w:tabs>
          <w:tab w:val="left" w:pos="360"/>
        </w:tabs>
        <w:ind w:left="426" w:hanging="66"/>
        <w:jc w:val="both"/>
        <w:rPr>
          <w:rFonts w:ascii="Arial" w:hAnsi="Arial" w:cs="Arial"/>
          <w:bCs/>
          <w:sz w:val="18"/>
          <w:szCs w:val="18"/>
        </w:rPr>
      </w:pPr>
    </w:p>
    <w:p w14:paraId="1F4E2170" w14:textId="77777777" w:rsidR="00DD751D" w:rsidRDefault="00000000">
      <w:pPr>
        <w:tabs>
          <w:tab w:val="left" w:pos="360"/>
        </w:tabs>
        <w:ind w:left="426" w:hanging="66"/>
        <w:jc w:val="both"/>
        <w:rPr>
          <w:rFonts w:ascii="Arial" w:hAnsi="Arial" w:cs="Arial"/>
          <w:bCs/>
          <w:sz w:val="18"/>
          <w:szCs w:val="18"/>
        </w:rPr>
      </w:pPr>
      <w:r>
        <w:rPr>
          <w:rFonts w:ascii="Arial" w:hAnsi="Arial" w:cs="Arial"/>
          <w:bCs/>
          <w:sz w:val="18"/>
          <w:szCs w:val="18"/>
        </w:rPr>
        <w:t xml:space="preserve">REAGENT PREPARATION </w:t>
      </w:r>
    </w:p>
    <w:p w14:paraId="13658E39" w14:textId="77777777" w:rsidR="00DD751D"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 xml:space="preserve">All reagents should be brought to room temperature (18-25°C) and mixed by gently inverting or swirling prior to use. Do not induce foaming. </w:t>
      </w:r>
    </w:p>
    <w:p w14:paraId="3A0DCD97" w14:textId="77777777" w:rsidR="00DD751D"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 xml:space="preserve">Dilute Wash Buffer 20 times (for example add 5ml concentrated buffer to 95 ml distilled or deionized water). Mix well before use. </w:t>
      </w:r>
    </w:p>
    <w:p w14:paraId="3E94EC21" w14:textId="77777777" w:rsidR="00DD751D" w:rsidRDefault="00DD751D">
      <w:pPr>
        <w:tabs>
          <w:tab w:val="left" w:pos="360"/>
        </w:tabs>
        <w:ind w:left="426" w:hanging="66"/>
        <w:jc w:val="both"/>
        <w:rPr>
          <w:rFonts w:ascii="Arial" w:hAnsi="Arial" w:cs="Arial"/>
          <w:bCs/>
          <w:sz w:val="18"/>
          <w:szCs w:val="18"/>
        </w:rPr>
      </w:pPr>
    </w:p>
    <w:p w14:paraId="72337265" w14:textId="77777777" w:rsidR="00DD751D" w:rsidRDefault="00000000">
      <w:pPr>
        <w:tabs>
          <w:tab w:val="left" w:pos="360"/>
        </w:tabs>
        <w:ind w:left="426" w:hanging="66"/>
        <w:jc w:val="both"/>
        <w:rPr>
          <w:rFonts w:ascii="Arial" w:hAnsi="Arial" w:cs="Arial"/>
          <w:bCs/>
          <w:sz w:val="18"/>
          <w:szCs w:val="18"/>
        </w:rPr>
      </w:pPr>
      <w:r>
        <w:rPr>
          <w:rFonts w:ascii="Arial" w:hAnsi="Arial" w:cs="Arial"/>
          <w:bCs/>
          <w:sz w:val="18"/>
          <w:szCs w:val="18"/>
        </w:rPr>
        <w:t>TEST PROCEDURE</w:t>
      </w:r>
    </w:p>
    <w:p w14:paraId="3AB886AD" w14:textId="77777777" w:rsidR="00DD751D" w:rsidRDefault="00000000" w:rsidP="00322176">
      <w:pPr>
        <w:pStyle w:val="ListParagraph"/>
        <w:numPr>
          <w:ilvl w:val="0"/>
          <w:numId w:val="13"/>
        </w:numPr>
        <w:tabs>
          <w:tab w:val="left" w:pos="360"/>
        </w:tabs>
        <w:jc w:val="both"/>
        <w:rPr>
          <w:rFonts w:ascii="Arial" w:hAnsi="Arial" w:cs="Arial"/>
          <w:bCs/>
          <w:sz w:val="18"/>
          <w:szCs w:val="18"/>
        </w:rPr>
      </w:pPr>
      <w:r>
        <w:rPr>
          <w:rFonts w:ascii="Arial" w:hAnsi="Arial" w:cs="Arial"/>
          <w:bCs/>
          <w:sz w:val="18"/>
          <w:szCs w:val="18"/>
        </w:rPr>
        <w:t>Secure the desired number of coated wells in the</w:t>
      </w:r>
      <w:r>
        <w:rPr>
          <w:rFonts w:ascii="Arial" w:hAnsi="Arial" w:cs="Arial"/>
          <w:bCs/>
          <w:sz w:val="18"/>
          <w:szCs w:val="18"/>
          <w:lang w:val="en-GB"/>
        </w:rPr>
        <w:t xml:space="preserve"> </w:t>
      </w:r>
      <w:r>
        <w:rPr>
          <w:rFonts w:ascii="Arial" w:hAnsi="Arial" w:cs="Arial"/>
          <w:bCs/>
          <w:sz w:val="18"/>
          <w:szCs w:val="18"/>
        </w:rPr>
        <w:t>holder.</w:t>
      </w:r>
    </w:p>
    <w:p w14:paraId="54136999" w14:textId="77777777" w:rsidR="00DD751D" w:rsidRDefault="00000000" w:rsidP="00322176">
      <w:pPr>
        <w:pStyle w:val="ListParagraph"/>
        <w:numPr>
          <w:ilvl w:val="0"/>
          <w:numId w:val="13"/>
        </w:numPr>
        <w:tabs>
          <w:tab w:val="left" w:pos="360"/>
        </w:tabs>
        <w:jc w:val="both"/>
        <w:rPr>
          <w:rFonts w:ascii="Arial" w:hAnsi="Arial" w:cs="Arial"/>
          <w:bCs/>
          <w:sz w:val="18"/>
          <w:szCs w:val="18"/>
        </w:rPr>
      </w:pPr>
      <w:r>
        <w:rPr>
          <w:rFonts w:ascii="Arial" w:hAnsi="Arial" w:cs="Arial"/>
          <w:bCs/>
          <w:sz w:val="18"/>
          <w:szCs w:val="18"/>
        </w:rPr>
        <w:t>Dispense 20 µl of standard, controls, specimens into appropriate wells.</w:t>
      </w:r>
    </w:p>
    <w:p w14:paraId="07C6E8C1" w14:textId="77777777" w:rsidR="00DD751D" w:rsidRDefault="00000000" w:rsidP="00322176">
      <w:pPr>
        <w:pStyle w:val="ListParagraph"/>
        <w:numPr>
          <w:ilvl w:val="0"/>
          <w:numId w:val="13"/>
        </w:numPr>
        <w:tabs>
          <w:tab w:val="left" w:pos="360"/>
        </w:tabs>
        <w:jc w:val="both"/>
        <w:rPr>
          <w:rFonts w:ascii="Arial" w:hAnsi="Arial" w:cs="Arial"/>
          <w:bCs/>
          <w:sz w:val="18"/>
          <w:szCs w:val="18"/>
        </w:rPr>
      </w:pPr>
      <w:r>
        <w:rPr>
          <w:rFonts w:ascii="Arial" w:hAnsi="Arial" w:cs="Arial"/>
          <w:bCs/>
          <w:sz w:val="18"/>
          <w:szCs w:val="18"/>
        </w:rPr>
        <w:t xml:space="preserve">Dispense 100 µl of Zero Buffer into each well. </w:t>
      </w:r>
    </w:p>
    <w:p w14:paraId="74DBE33E" w14:textId="77777777" w:rsidR="00DD751D" w:rsidRDefault="00000000" w:rsidP="00322176">
      <w:pPr>
        <w:pStyle w:val="ListParagraph"/>
        <w:numPr>
          <w:ilvl w:val="0"/>
          <w:numId w:val="13"/>
        </w:numPr>
        <w:tabs>
          <w:tab w:val="left" w:pos="360"/>
        </w:tabs>
        <w:jc w:val="both"/>
        <w:rPr>
          <w:rFonts w:ascii="Arial" w:hAnsi="Arial" w:cs="Arial"/>
          <w:bCs/>
          <w:sz w:val="18"/>
          <w:szCs w:val="18"/>
        </w:rPr>
      </w:pPr>
      <w:r>
        <w:rPr>
          <w:rFonts w:ascii="Arial" w:hAnsi="Arial" w:cs="Arial"/>
          <w:bCs/>
          <w:sz w:val="18"/>
          <w:szCs w:val="18"/>
        </w:rPr>
        <w:t>Thoroughly mix for 10 seconds. It is very important to have complete mixing in this setup.</w:t>
      </w:r>
    </w:p>
    <w:p w14:paraId="32A9A508" w14:textId="77777777" w:rsidR="00DD751D" w:rsidRDefault="00000000" w:rsidP="00322176">
      <w:pPr>
        <w:pStyle w:val="ListParagraph"/>
        <w:numPr>
          <w:ilvl w:val="0"/>
          <w:numId w:val="13"/>
        </w:numPr>
        <w:tabs>
          <w:tab w:val="left" w:pos="360"/>
        </w:tabs>
        <w:jc w:val="both"/>
        <w:rPr>
          <w:rFonts w:ascii="Arial" w:hAnsi="Arial" w:cs="Arial"/>
          <w:bCs/>
          <w:sz w:val="18"/>
          <w:szCs w:val="18"/>
        </w:rPr>
      </w:pPr>
      <w:r>
        <w:rPr>
          <w:rFonts w:ascii="Arial" w:hAnsi="Arial" w:cs="Arial"/>
          <w:bCs/>
          <w:sz w:val="18"/>
          <w:szCs w:val="18"/>
        </w:rPr>
        <w:t>Incubate at room temperature (18-25</w:t>
      </w:r>
      <w:r>
        <w:rPr>
          <w:rFonts w:ascii="Arial" w:hAnsi="Arial" w:cs="Arial"/>
          <w:bCs/>
          <w:sz w:val="18"/>
          <w:szCs w:val="18"/>
          <w:vertAlign w:val="superscript"/>
        </w:rPr>
        <w:t>0</w:t>
      </w:r>
      <w:r>
        <w:rPr>
          <w:rFonts w:ascii="Arial" w:hAnsi="Arial" w:cs="Arial"/>
          <w:bCs/>
          <w:sz w:val="18"/>
          <w:szCs w:val="18"/>
        </w:rPr>
        <w:t xml:space="preserve"> C) for </w:t>
      </w:r>
    </w:p>
    <w:p w14:paraId="312CDFC6" w14:textId="77777777" w:rsidR="00DD751D" w:rsidRDefault="00000000" w:rsidP="00322176">
      <w:pPr>
        <w:pStyle w:val="ListParagraph"/>
        <w:numPr>
          <w:ilvl w:val="0"/>
          <w:numId w:val="13"/>
        </w:numPr>
        <w:tabs>
          <w:tab w:val="left" w:pos="360"/>
        </w:tabs>
        <w:jc w:val="both"/>
        <w:rPr>
          <w:rFonts w:ascii="Arial" w:hAnsi="Arial" w:cs="Arial"/>
          <w:bCs/>
          <w:sz w:val="18"/>
          <w:szCs w:val="18"/>
        </w:rPr>
      </w:pPr>
      <w:r>
        <w:rPr>
          <w:rFonts w:ascii="Arial" w:hAnsi="Arial" w:cs="Arial"/>
          <w:bCs/>
          <w:sz w:val="18"/>
          <w:szCs w:val="18"/>
        </w:rPr>
        <w:t xml:space="preserve">20 minutes </w:t>
      </w:r>
    </w:p>
    <w:p w14:paraId="21918DCB" w14:textId="77777777" w:rsidR="00DD751D" w:rsidRDefault="00000000" w:rsidP="00322176">
      <w:pPr>
        <w:pStyle w:val="ListParagraph"/>
        <w:numPr>
          <w:ilvl w:val="0"/>
          <w:numId w:val="13"/>
        </w:numPr>
        <w:tabs>
          <w:tab w:val="left" w:pos="360"/>
        </w:tabs>
        <w:jc w:val="both"/>
        <w:rPr>
          <w:rFonts w:ascii="Arial" w:hAnsi="Arial" w:cs="Arial"/>
          <w:bCs/>
          <w:sz w:val="18"/>
          <w:szCs w:val="18"/>
        </w:rPr>
      </w:pPr>
      <w:r>
        <w:rPr>
          <w:rFonts w:ascii="Arial" w:hAnsi="Arial" w:cs="Arial"/>
          <w:bCs/>
          <w:sz w:val="18"/>
          <w:szCs w:val="18"/>
        </w:rPr>
        <w:t xml:space="preserve">After incubation, empty the </w:t>
      </w:r>
      <w:proofErr w:type="spellStart"/>
      <w:r>
        <w:rPr>
          <w:rFonts w:ascii="Arial" w:hAnsi="Arial" w:cs="Arial"/>
          <w:bCs/>
          <w:sz w:val="18"/>
          <w:szCs w:val="18"/>
        </w:rPr>
        <w:t>microtitre</w:t>
      </w:r>
      <w:proofErr w:type="spellEnd"/>
      <w:r>
        <w:rPr>
          <w:rFonts w:ascii="Arial" w:hAnsi="Arial" w:cs="Arial"/>
          <w:bCs/>
          <w:sz w:val="18"/>
          <w:szCs w:val="18"/>
        </w:rPr>
        <w:t xml:space="preserve"> wells and wash the plate 5 times with 350 µl of diluted wash buffer. Strike the </w:t>
      </w:r>
      <w:proofErr w:type="spellStart"/>
      <w:r>
        <w:rPr>
          <w:rFonts w:ascii="Arial" w:hAnsi="Arial" w:cs="Arial"/>
          <w:bCs/>
          <w:sz w:val="18"/>
          <w:szCs w:val="18"/>
        </w:rPr>
        <w:t>microtitre</w:t>
      </w:r>
      <w:proofErr w:type="spellEnd"/>
      <w:r>
        <w:rPr>
          <w:rFonts w:ascii="Arial" w:hAnsi="Arial" w:cs="Arial"/>
          <w:bCs/>
          <w:sz w:val="18"/>
          <w:szCs w:val="18"/>
        </w:rPr>
        <w:t xml:space="preserve"> plate sharply onto the absorbent paper towel to remove all residual droplets. </w:t>
      </w:r>
    </w:p>
    <w:p w14:paraId="67F95692" w14:textId="77777777" w:rsidR="00DD751D" w:rsidRDefault="00000000" w:rsidP="00322176">
      <w:pPr>
        <w:pStyle w:val="ListParagraph"/>
        <w:numPr>
          <w:ilvl w:val="0"/>
          <w:numId w:val="13"/>
        </w:numPr>
        <w:tabs>
          <w:tab w:val="left" w:pos="360"/>
        </w:tabs>
        <w:jc w:val="both"/>
        <w:rPr>
          <w:rFonts w:ascii="Arial" w:hAnsi="Arial" w:cs="Arial"/>
          <w:bCs/>
          <w:sz w:val="18"/>
          <w:szCs w:val="18"/>
        </w:rPr>
      </w:pPr>
      <w:r>
        <w:rPr>
          <w:rFonts w:ascii="Arial" w:hAnsi="Arial" w:cs="Arial"/>
          <w:bCs/>
          <w:sz w:val="18"/>
          <w:szCs w:val="18"/>
        </w:rPr>
        <w:t>Dispense 150 µl of Enzyme Conjugate into each well.</w:t>
      </w:r>
    </w:p>
    <w:p w14:paraId="637B1739" w14:textId="77777777" w:rsidR="00DD751D" w:rsidRDefault="00000000" w:rsidP="00322176">
      <w:pPr>
        <w:pStyle w:val="ListParagraph"/>
        <w:numPr>
          <w:ilvl w:val="0"/>
          <w:numId w:val="13"/>
        </w:numPr>
        <w:tabs>
          <w:tab w:val="left" w:pos="360"/>
        </w:tabs>
        <w:jc w:val="both"/>
        <w:rPr>
          <w:rFonts w:ascii="Arial" w:hAnsi="Arial" w:cs="Arial"/>
          <w:bCs/>
          <w:sz w:val="18"/>
          <w:szCs w:val="18"/>
        </w:rPr>
      </w:pPr>
      <w:r>
        <w:rPr>
          <w:rFonts w:ascii="Arial" w:hAnsi="Arial" w:cs="Arial"/>
          <w:bCs/>
          <w:sz w:val="18"/>
          <w:szCs w:val="18"/>
        </w:rPr>
        <w:t>Incubate at room temperature for 20 minutes.</w:t>
      </w:r>
    </w:p>
    <w:p w14:paraId="0436CD0A" w14:textId="77777777" w:rsidR="00DD751D" w:rsidRDefault="00000000" w:rsidP="00322176">
      <w:pPr>
        <w:pStyle w:val="ListParagraph"/>
        <w:numPr>
          <w:ilvl w:val="0"/>
          <w:numId w:val="13"/>
        </w:numPr>
        <w:tabs>
          <w:tab w:val="left" w:pos="360"/>
        </w:tabs>
        <w:jc w:val="both"/>
        <w:rPr>
          <w:rFonts w:ascii="Arial" w:hAnsi="Arial" w:cs="Arial"/>
          <w:bCs/>
          <w:sz w:val="18"/>
          <w:szCs w:val="18"/>
        </w:rPr>
      </w:pPr>
      <w:r>
        <w:rPr>
          <w:rFonts w:ascii="Arial" w:hAnsi="Arial" w:cs="Arial"/>
          <w:bCs/>
          <w:sz w:val="18"/>
          <w:szCs w:val="18"/>
        </w:rPr>
        <w:t xml:space="preserve">After incubation, empty the </w:t>
      </w:r>
      <w:proofErr w:type="spellStart"/>
      <w:r>
        <w:rPr>
          <w:rFonts w:ascii="Arial" w:hAnsi="Arial" w:cs="Arial"/>
          <w:bCs/>
          <w:sz w:val="18"/>
          <w:szCs w:val="18"/>
        </w:rPr>
        <w:t>microtitre</w:t>
      </w:r>
      <w:proofErr w:type="spellEnd"/>
      <w:r>
        <w:rPr>
          <w:rFonts w:ascii="Arial" w:hAnsi="Arial" w:cs="Arial"/>
          <w:bCs/>
          <w:sz w:val="18"/>
          <w:szCs w:val="18"/>
        </w:rPr>
        <w:t xml:space="preserve"> wells and wash the plate 5 times with 350 µl of diluted wash buffer. Strike the </w:t>
      </w:r>
      <w:proofErr w:type="spellStart"/>
      <w:r>
        <w:rPr>
          <w:rFonts w:ascii="Arial" w:hAnsi="Arial" w:cs="Arial"/>
          <w:bCs/>
          <w:sz w:val="18"/>
          <w:szCs w:val="18"/>
        </w:rPr>
        <w:t>microtitre</w:t>
      </w:r>
      <w:proofErr w:type="spellEnd"/>
      <w:r>
        <w:rPr>
          <w:rFonts w:ascii="Arial" w:hAnsi="Arial" w:cs="Arial"/>
          <w:bCs/>
          <w:sz w:val="18"/>
          <w:szCs w:val="18"/>
        </w:rPr>
        <w:t xml:space="preserve"> plate sharply onto the absorbent paper towel to remove all residual droplets. </w:t>
      </w:r>
    </w:p>
    <w:p w14:paraId="45649841" w14:textId="77777777" w:rsidR="00DD751D" w:rsidRDefault="00000000" w:rsidP="00322176">
      <w:pPr>
        <w:pStyle w:val="ListParagraph"/>
        <w:numPr>
          <w:ilvl w:val="0"/>
          <w:numId w:val="13"/>
        </w:numPr>
        <w:tabs>
          <w:tab w:val="left" w:pos="360"/>
        </w:tabs>
        <w:jc w:val="both"/>
        <w:rPr>
          <w:rFonts w:ascii="Arial" w:hAnsi="Arial" w:cs="Arial"/>
          <w:bCs/>
          <w:sz w:val="18"/>
          <w:szCs w:val="18"/>
        </w:rPr>
      </w:pPr>
      <w:r>
        <w:rPr>
          <w:rFonts w:ascii="Arial" w:hAnsi="Arial" w:cs="Arial"/>
          <w:bCs/>
          <w:sz w:val="18"/>
          <w:szCs w:val="18"/>
        </w:rPr>
        <w:t xml:space="preserve">Dispense 100 µl TMB substrate into each well. </w:t>
      </w:r>
    </w:p>
    <w:p w14:paraId="3F31C21E" w14:textId="77777777" w:rsidR="00DD751D" w:rsidRDefault="00000000" w:rsidP="00322176">
      <w:pPr>
        <w:pStyle w:val="ListParagraph"/>
        <w:numPr>
          <w:ilvl w:val="0"/>
          <w:numId w:val="13"/>
        </w:numPr>
        <w:tabs>
          <w:tab w:val="left" w:pos="360"/>
        </w:tabs>
        <w:jc w:val="both"/>
        <w:rPr>
          <w:rFonts w:ascii="Arial" w:hAnsi="Arial" w:cs="Arial"/>
          <w:bCs/>
          <w:sz w:val="18"/>
          <w:szCs w:val="18"/>
        </w:rPr>
      </w:pPr>
      <w:r>
        <w:rPr>
          <w:rFonts w:ascii="Arial" w:hAnsi="Arial" w:cs="Arial"/>
          <w:bCs/>
          <w:sz w:val="18"/>
          <w:szCs w:val="18"/>
        </w:rPr>
        <w:t xml:space="preserve">Incubate at room temperature in the dark for 20 minutes. </w:t>
      </w:r>
    </w:p>
    <w:p w14:paraId="72F0BDD4" w14:textId="77777777" w:rsidR="00DD751D" w:rsidRDefault="00000000" w:rsidP="00322176">
      <w:pPr>
        <w:pStyle w:val="ListParagraph"/>
        <w:numPr>
          <w:ilvl w:val="0"/>
          <w:numId w:val="13"/>
        </w:numPr>
        <w:tabs>
          <w:tab w:val="left" w:pos="360"/>
        </w:tabs>
        <w:jc w:val="both"/>
        <w:rPr>
          <w:rFonts w:ascii="Arial" w:hAnsi="Arial" w:cs="Arial"/>
          <w:bCs/>
          <w:sz w:val="18"/>
          <w:szCs w:val="18"/>
        </w:rPr>
      </w:pPr>
      <w:r>
        <w:rPr>
          <w:rFonts w:ascii="Arial" w:hAnsi="Arial" w:cs="Arial"/>
          <w:bCs/>
          <w:sz w:val="18"/>
          <w:szCs w:val="18"/>
        </w:rPr>
        <w:t xml:space="preserve">Stop the reaction by adding 100 µl of Stop Solution to each well. </w:t>
      </w:r>
    </w:p>
    <w:p w14:paraId="18AF726B" w14:textId="77777777" w:rsidR="00DD751D" w:rsidRDefault="00000000" w:rsidP="00322176">
      <w:pPr>
        <w:pStyle w:val="ListParagraph"/>
        <w:numPr>
          <w:ilvl w:val="0"/>
          <w:numId w:val="13"/>
        </w:numPr>
        <w:tabs>
          <w:tab w:val="left" w:pos="360"/>
        </w:tabs>
        <w:jc w:val="both"/>
        <w:rPr>
          <w:rFonts w:ascii="Arial" w:hAnsi="Arial" w:cs="Arial"/>
          <w:bCs/>
          <w:sz w:val="18"/>
          <w:szCs w:val="18"/>
        </w:rPr>
      </w:pPr>
      <w:r>
        <w:rPr>
          <w:rFonts w:ascii="Arial" w:hAnsi="Arial" w:cs="Arial"/>
          <w:bCs/>
          <w:sz w:val="18"/>
          <w:szCs w:val="18"/>
        </w:rPr>
        <w:t>Gently mix for 10 seconds. It is important to make sure that all the blue color changes to yellow color completely.</w:t>
      </w:r>
    </w:p>
    <w:p w14:paraId="1DC524DA" w14:textId="77777777" w:rsidR="00DD751D" w:rsidRDefault="00000000" w:rsidP="00322176">
      <w:pPr>
        <w:pStyle w:val="ListParagraph"/>
        <w:numPr>
          <w:ilvl w:val="0"/>
          <w:numId w:val="13"/>
        </w:numPr>
        <w:tabs>
          <w:tab w:val="left" w:pos="360"/>
        </w:tabs>
        <w:jc w:val="both"/>
        <w:rPr>
          <w:rFonts w:ascii="Arial" w:hAnsi="Arial" w:cs="Arial"/>
          <w:bCs/>
          <w:sz w:val="18"/>
          <w:szCs w:val="18"/>
        </w:rPr>
      </w:pPr>
      <w:r>
        <w:rPr>
          <w:rFonts w:ascii="Arial" w:hAnsi="Arial" w:cs="Arial"/>
          <w:bCs/>
          <w:sz w:val="18"/>
          <w:szCs w:val="18"/>
        </w:rPr>
        <w:t>Read optical density at 450/650 nm with a microtiter reader</w:t>
      </w:r>
    </w:p>
    <w:p w14:paraId="2F237897" w14:textId="77777777" w:rsidR="00DD751D" w:rsidRDefault="00DD751D">
      <w:pPr>
        <w:tabs>
          <w:tab w:val="left" w:pos="360"/>
        </w:tabs>
        <w:jc w:val="both"/>
        <w:rPr>
          <w:rFonts w:ascii="Arial" w:hAnsi="Arial" w:cs="Arial"/>
          <w:bCs/>
          <w:sz w:val="18"/>
          <w:szCs w:val="18"/>
        </w:rPr>
      </w:pPr>
    </w:p>
    <w:tbl>
      <w:tblPr>
        <w:tblW w:w="3546"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6"/>
      </w:tblGrid>
      <w:tr w:rsidR="00DD751D" w14:paraId="76613F48" w14:textId="77777777">
        <w:trPr>
          <w:trHeight w:val="360"/>
        </w:trPr>
        <w:tc>
          <w:tcPr>
            <w:tcW w:w="3546" w:type="dxa"/>
            <w:shd w:val="clear" w:color="auto" w:fill="auto"/>
          </w:tcPr>
          <w:p w14:paraId="7ED617F0" w14:textId="77777777" w:rsidR="00DD751D" w:rsidRDefault="00000000">
            <w:pPr>
              <w:tabs>
                <w:tab w:val="left" w:pos="360"/>
              </w:tabs>
              <w:jc w:val="both"/>
              <w:rPr>
                <w:rFonts w:ascii="Arial" w:hAnsi="Arial" w:cs="Arial"/>
                <w:bCs/>
                <w:sz w:val="18"/>
                <w:szCs w:val="18"/>
              </w:rPr>
            </w:pPr>
            <w:r>
              <w:rPr>
                <w:rFonts w:ascii="Arial" w:hAnsi="Arial" w:cs="Arial"/>
                <w:bCs/>
                <w:sz w:val="18"/>
                <w:szCs w:val="18"/>
              </w:rPr>
              <w:t>Add 20 µl standards/controls/samples into the respective Microwells</w:t>
            </w:r>
          </w:p>
        </w:tc>
      </w:tr>
    </w:tbl>
    <w:p w14:paraId="0BC598FB" w14:textId="77777777" w:rsidR="00DD751D"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1312" behindDoc="0" locked="0" layoutInCell="1" allowOverlap="1" wp14:anchorId="1432934B" wp14:editId="73497371">
                <wp:simplePos x="0" y="0"/>
                <wp:positionH relativeFrom="column">
                  <wp:posOffset>1285875</wp:posOffset>
                </wp:positionH>
                <wp:positionV relativeFrom="paragraph">
                  <wp:posOffset>4445</wp:posOffset>
                </wp:positionV>
                <wp:extent cx="76200" cy="266700"/>
                <wp:effectExtent l="0" t="0" r="0" b="0"/>
                <wp:wrapNone/>
                <wp:docPr id="507549119"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8" o:spid="_x0000_s1026" o:spt="67" type="#_x0000_t67" style="position:absolute;left:0pt;margin-left:101.25pt;margin-top:0.35pt;height:21pt;width:6pt;z-index:251661312;mso-width-relative:page;mso-height-relative:page;" fillcolor="#000000" filled="t" stroked="t" coordsize="21600,21600" o:gfxdata="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Prqf0rVAAAABwEAAA8AAAAAAAAAAQAgAAAA&#10;IgAAAGRycy9kb3ducmV2LnhtbFBLAQIUABQAAAAIAIdO4kCrX72HRwIAANEEAAAOAAAAAAAAAAEA&#10;IAAAACQBAABkcnMvZTJvRG9jLnhtbFBLBQYAAAAABgAGAFkBAADdBQAAAAA=&#10;" adj="16200,5400">
                <v:fill on="t" focussize="0,0"/>
                <v:stroke color="#000000" miterlimit="8" joinstyle="miter"/>
                <v:imagedata o:title=""/>
                <o:lock v:ext="edit" aspectratio="f"/>
                <v:textbox style="layout-flow:vertical-ideographic;"/>
              </v:shape>
            </w:pict>
          </mc:Fallback>
        </mc:AlternateContent>
      </w:r>
    </w:p>
    <w:p w14:paraId="368A9759" w14:textId="77777777" w:rsidR="00DD751D" w:rsidRDefault="00DD751D">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DD751D" w14:paraId="207EB123" w14:textId="77777777">
        <w:trPr>
          <w:trHeight w:val="275"/>
        </w:trPr>
        <w:tc>
          <w:tcPr>
            <w:tcW w:w="3604" w:type="dxa"/>
            <w:shd w:val="clear" w:color="auto" w:fill="auto"/>
          </w:tcPr>
          <w:p w14:paraId="7DDCF3B7" w14:textId="77777777" w:rsidR="00DD751D" w:rsidRDefault="00000000">
            <w:pPr>
              <w:tabs>
                <w:tab w:val="left" w:pos="360"/>
              </w:tabs>
              <w:jc w:val="both"/>
              <w:rPr>
                <w:rFonts w:ascii="Arial" w:hAnsi="Arial" w:cs="Arial"/>
                <w:bCs/>
                <w:sz w:val="18"/>
                <w:szCs w:val="18"/>
              </w:rPr>
            </w:pPr>
            <w:r>
              <w:rPr>
                <w:rFonts w:ascii="Arial" w:hAnsi="Arial" w:cs="Arial"/>
                <w:bCs/>
                <w:sz w:val="18"/>
                <w:szCs w:val="18"/>
              </w:rPr>
              <w:t xml:space="preserve">Add 100 µl </w:t>
            </w:r>
            <w:r>
              <w:rPr>
                <w:rFonts w:ascii="Arial" w:hAnsi="Arial" w:cs="Arial"/>
                <w:bCs/>
                <w:sz w:val="18"/>
                <w:szCs w:val="18"/>
                <w:lang w:val="en-GB"/>
              </w:rPr>
              <w:t xml:space="preserve">of </w:t>
            </w:r>
            <w:r>
              <w:rPr>
                <w:rFonts w:ascii="Arial" w:hAnsi="Arial" w:cs="Arial"/>
                <w:bCs/>
                <w:sz w:val="18"/>
                <w:szCs w:val="18"/>
              </w:rPr>
              <w:t>Zero Buffer in</w:t>
            </w:r>
            <w:r>
              <w:rPr>
                <w:rFonts w:ascii="Arial" w:hAnsi="Arial" w:cs="Arial"/>
                <w:bCs/>
                <w:sz w:val="18"/>
                <w:szCs w:val="18"/>
                <w:lang w:val="en-GB"/>
              </w:rPr>
              <w:t>to</w:t>
            </w:r>
            <w:r>
              <w:rPr>
                <w:rFonts w:ascii="Arial" w:hAnsi="Arial" w:cs="Arial"/>
                <w:bCs/>
                <w:sz w:val="18"/>
                <w:szCs w:val="18"/>
              </w:rPr>
              <w:t xml:space="preserve"> each well</w:t>
            </w:r>
          </w:p>
        </w:tc>
      </w:tr>
    </w:tbl>
    <w:p w14:paraId="375E56B8" w14:textId="77777777" w:rsidR="00DD751D"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2336" behindDoc="0" locked="0" layoutInCell="1" allowOverlap="1" wp14:anchorId="63DEB607" wp14:editId="71FA0DAC">
                <wp:simplePos x="0" y="0"/>
                <wp:positionH relativeFrom="column">
                  <wp:posOffset>1276350</wp:posOffset>
                </wp:positionH>
                <wp:positionV relativeFrom="paragraph">
                  <wp:posOffset>-2540</wp:posOffset>
                </wp:positionV>
                <wp:extent cx="76200" cy="266700"/>
                <wp:effectExtent l="0" t="0" r="0" b="0"/>
                <wp:wrapNone/>
                <wp:docPr id="1217294194"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9" o:spid="_x0000_s1026" o:spt="67" type="#_x0000_t67" style="position:absolute;left:0pt;margin-left:100.5pt;margin-top:-0.2pt;height:21pt;width:6pt;z-index:251662336;mso-width-relative:page;mso-height-relative:page;" fillcolor="#000000" filled="t" stroked="t" coordsize="21600,21600" o:gfxdata="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dUtjt1wAAAAgBAAAPAAAAAAAAAAEA&#10;IAAAACIAAABkcnMvZG93bnJldi54bWxQSwECFAAUAAAACACHTuJA/W1xL0kCAADSBAAADgAAAAAA&#10;AAABACAAAAAmAQAAZHJzL2Uyb0RvYy54bWxQSwUGAAAAAAYABgBZAQAA4QUAAAAA&#10;" adj="16200,5400">
                <v:fill on="t" focussize="0,0"/>
                <v:stroke color="#000000" miterlimit="8" joinstyle="miter"/>
                <v:imagedata o:title=""/>
                <o:lock v:ext="edit" aspectratio="f"/>
                <v:textbox style="layout-flow:vertical-ideographic;"/>
              </v:shape>
            </w:pict>
          </mc:Fallback>
        </mc:AlternateContent>
      </w:r>
    </w:p>
    <w:p w14:paraId="3931A3DD" w14:textId="77777777" w:rsidR="00DD751D" w:rsidRDefault="00DD751D">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DD751D" w14:paraId="79601F39" w14:textId="77777777">
        <w:trPr>
          <w:trHeight w:val="376"/>
        </w:trPr>
        <w:tc>
          <w:tcPr>
            <w:tcW w:w="3604" w:type="dxa"/>
            <w:shd w:val="clear" w:color="auto" w:fill="auto"/>
          </w:tcPr>
          <w:p w14:paraId="40683904" w14:textId="77777777" w:rsidR="00DD751D" w:rsidRDefault="00000000">
            <w:pPr>
              <w:tabs>
                <w:tab w:val="left" w:pos="360"/>
              </w:tabs>
              <w:jc w:val="both"/>
              <w:rPr>
                <w:rFonts w:ascii="Arial" w:hAnsi="Arial" w:cs="Arial"/>
                <w:bCs/>
                <w:i/>
                <w:iCs/>
                <w:sz w:val="18"/>
                <w:szCs w:val="18"/>
              </w:rPr>
            </w:pPr>
            <w:r>
              <w:rPr>
                <w:rFonts w:ascii="Arial" w:hAnsi="Arial" w:cs="Arial"/>
                <w:bCs/>
                <w:sz w:val="18"/>
                <w:szCs w:val="18"/>
              </w:rPr>
              <w:t>Apply plate sealer and incubate for 20 minutes at 18-25°C</w:t>
            </w:r>
          </w:p>
        </w:tc>
      </w:tr>
    </w:tbl>
    <w:p w14:paraId="779AC690" w14:textId="77777777" w:rsidR="00DD751D"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4384" behindDoc="0" locked="0" layoutInCell="1" allowOverlap="1" wp14:anchorId="20EB653D" wp14:editId="0197A26A">
                <wp:simplePos x="0" y="0"/>
                <wp:positionH relativeFrom="column">
                  <wp:posOffset>1295400</wp:posOffset>
                </wp:positionH>
                <wp:positionV relativeFrom="paragraph">
                  <wp:posOffset>10160</wp:posOffset>
                </wp:positionV>
                <wp:extent cx="76200" cy="266700"/>
                <wp:effectExtent l="19050" t="0" r="38100" b="38100"/>
                <wp:wrapNone/>
                <wp:docPr id="150492166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2pt;margin-top:0.8pt;height:21pt;width:6pt;z-index:251664384;mso-width-relative:page;mso-height-relative:page;" fillcolor="#000000" filled="t" stroked="t" coordsize="21600,21600" o:gfxdata="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hfylg9YAAAAIAQAADwAAAAAAAAABACAA&#10;AAAiAAAAZHJzL2Rvd25yZXYueG1sUEsBAhQAFAAAAAgAh07iQK+/WthIAgAA0gQAAA4AAAAAAAAA&#10;AQAgAAAAJQEAAGRycy9lMm9Eb2MueG1sUEsFBgAAAAAGAAYAWQEAAN8FAAAAAA==&#10;" adj="16200,5400">
                <v:fill on="t" focussize="0,0"/>
                <v:stroke color="#000000" miterlimit="8" joinstyle="miter"/>
                <v:imagedata o:title=""/>
                <o:lock v:ext="edit" aspectratio="f"/>
                <v:textbox style="layout-flow:vertical-ideographic;"/>
              </v:shape>
            </w:pict>
          </mc:Fallback>
        </mc:AlternateContent>
      </w:r>
    </w:p>
    <w:p w14:paraId="07C08212" w14:textId="77777777" w:rsidR="00DD751D" w:rsidRDefault="00DD751D">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DD751D" w14:paraId="6B2EDF0A" w14:textId="77777777">
        <w:trPr>
          <w:trHeight w:val="303"/>
        </w:trPr>
        <w:tc>
          <w:tcPr>
            <w:tcW w:w="3604" w:type="dxa"/>
            <w:shd w:val="clear" w:color="auto" w:fill="auto"/>
          </w:tcPr>
          <w:p w14:paraId="7F4A9479" w14:textId="77777777" w:rsidR="00DD751D" w:rsidRDefault="00000000">
            <w:pPr>
              <w:tabs>
                <w:tab w:val="left" w:pos="360"/>
              </w:tabs>
              <w:jc w:val="both"/>
              <w:rPr>
                <w:rFonts w:ascii="Arial" w:hAnsi="Arial" w:cs="Arial"/>
                <w:bCs/>
                <w:sz w:val="18"/>
                <w:szCs w:val="18"/>
              </w:rPr>
            </w:pPr>
            <w:r>
              <w:rPr>
                <w:rFonts w:ascii="Arial" w:hAnsi="Arial" w:cs="Arial"/>
                <w:bCs/>
                <w:sz w:val="18"/>
                <w:szCs w:val="18"/>
              </w:rPr>
              <w:t>Wash Microwells 5 times with 350 µl of diluted wash buffer</w:t>
            </w:r>
          </w:p>
        </w:tc>
      </w:tr>
    </w:tbl>
    <w:p w14:paraId="002F70DB" w14:textId="77777777" w:rsidR="00DD751D"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0288" behindDoc="0" locked="0" layoutInCell="1" allowOverlap="1" wp14:anchorId="313E7A66" wp14:editId="44EA763E">
                <wp:simplePos x="0" y="0"/>
                <wp:positionH relativeFrom="column">
                  <wp:posOffset>1285875</wp:posOffset>
                </wp:positionH>
                <wp:positionV relativeFrom="paragraph">
                  <wp:posOffset>-1270</wp:posOffset>
                </wp:positionV>
                <wp:extent cx="76200" cy="266700"/>
                <wp:effectExtent l="0" t="0" r="0" b="0"/>
                <wp:wrapNone/>
                <wp:docPr id="1020102689"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1.25pt;margin-top:-0.1pt;height:21pt;width:6pt;z-index:251660288;mso-width-relative:page;mso-height-relative:page;" fillcolor="#000000" filled="t" stroked="t" coordsize="21600,21600" o:gfxdata="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QU/RF1wAAAAgBAAAPAAAAAAAAAAEAIAAA&#10;ACIAAABkcnMvZG93bnJldi54bWxQSwECFAAUAAAACACHTuJALMoxjUYCAADSBAAADgAAAAAAAAAB&#10;ACAAAAAm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37093C87" w14:textId="77777777" w:rsidR="00DD751D" w:rsidRDefault="00DD751D">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DD751D" w14:paraId="2A6F4165" w14:textId="77777777">
        <w:tc>
          <w:tcPr>
            <w:tcW w:w="3604" w:type="dxa"/>
            <w:shd w:val="clear" w:color="auto" w:fill="auto"/>
          </w:tcPr>
          <w:p w14:paraId="7863DF02" w14:textId="77777777" w:rsidR="00DD751D" w:rsidRDefault="00000000">
            <w:pPr>
              <w:tabs>
                <w:tab w:val="left" w:pos="360"/>
              </w:tabs>
              <w:jc w:val="both"/>
              <w:rPr>
                <w:rFonts w:ascii="Arial" w:hAnsi="Arial" w:cs="Arial"/>
                <w:bCs/>
                <w:sz w:val="18"/>
                <w:szCs w:val="18"/>
              </w:rPr>
            </w:pPr>
            <w:r>
              <w:rPr>
                <w:rFonts w:ascii="Arial" w:hAnsi="Arial" w:cs="Arial"/>
                <w:bCs/>
                <w:sz w:val="18"/>
                <w:szCs w:val="18"/>
              </w:rPr>
              <w:t xml:space="preserve">Add 150 µl </w:t>
            </w:r>
            <w:r>
              <w:rPr>
                <w:rFonts w:ascii="Arial" w:hAnsi="Arial" w:cs="Arial"/>
                <w:bCs/>
                <w:sz w:val="18"/>
                <w:szCs w:val="18"/>
                <w:lang w:val="en-GB"/>
              </w:rPr>
              <w:t xml:space="preserve">of </w:t>
            </w:r>
            <w:r>
              <w:rPr>
                <w:rFonts w:ascii="Arial" w:hAnsi="Arial" w:cs="Arial"/>
                <w:bCs/>
                <w:sz w:val="18"/>
                <w:szCs w:val="18"/>
              </w:rPr>
              <w:t>Enzyme conjugate in each well</w:t>
            </w:r>
          </w:p>
        </w:tc>
      </w:tr>
    </w:tbl>
    <w:p w14:paraId="092C884D" w14:textId="77777777" w:rsidR="00DD751D"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5408" behindDoc="0" locked="0" layoutInCell="1" allowOverlap="1" wp14:anchorId="71C71009" wp14:editId="7CBF13D0">
                <wp:simplePos x="0" y="0"/>
                <wp:positionH relativeFrom="column">
                  <wp:posOffset>1304925</wp:posOffset>
                </wp:positionH>
                <wp:positionV relativeFrom="paragraph">
                  <wp:posOffset>13335</wp:posOffset>
                </wp:positionV>
                <wp:extent cx="76200" cy="266700"/>
                <wp:effectExtent l="19050" t="0" r="38100" b="38100"/>
                <wp:wrapNone/>
                <wp:docPr id="1837099124"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2.75pt;margin-top:1.05pt;height:21pt;width:6pt;z-index:251665408;mso-width-relative:page;mso-height-relative:page;" fillcolor="#000000" filled="t" stroked="t" coordsize="21600,21600" o:gfxdata="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HlTc4rXAAAACAEAAA8AAAAAAAAAAQAg&#10;AAAAIgAAAGRycy9kb3ducmV2LnhtbFBLAQIUABQAAAAIAIdO4kBfMnJcSAIAANIEAAAOAAAAAAAA&#10;AAEAIAAAACY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0C75A5D4" w14:textId="77777777" w:rsidR="00DD751D" w:rsidRDefault="00DD751D">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DD751D" w14:paraId="50866C9F" w14:textId="77777777">
        <w:tc>
          <w:tcPr>
            <w:tcW w:w="3604" w:type="dxa"/>
            <w:shd w:val="clear" w:color="auto" w:fill="auto"/>
          </w:tcPr>
          <w:p w14:paraId="18675DCE" w14:textId="77777777" w:rsidR="00DD751D" w:rsidRDefault="00000000">
            <w:pPr>
              <w:tabs>
                <w:tab w:val="left" w:pos="360"/>
              </w:tabs>
              <w:jc w:val="both"/>
              <w:rPr>
                <w:rFonts w:ascii="Arial" w:hAnsi="Arial" w:cs="Arial"/>
                <w:bCs/>
                <w:sz w:val="18"/>
                <w:szCs w:val="18"/>
              </w:rPr>
            </w:pPr>
            <w:r>
              <w:rPr>
                <w:rFonts w:ascii="Arial" w:hAnsi="Arial" w:cs="Arial"/>
                <w:bCs/>
                <w:sz w:val="18"/>
                <w:szCs w:val="18"/>
              </w:rPr>
              <w:t>Apply plate sealer and incubate for 20 minutes at 18-25°C</w:t>
            </w:r>
          </w:p>
        </w:tc>
      </w:tr>
    </w:tbl>
    <w:p w14:paraId="5001DFDC" w14:textId="77777777" w:rsidR="00DD751D"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3360" behindDoc="0" locked="0" layoutInCell="1" allowOverlap="1" wp14:anchorId="49681E27" wp14:editId="3A59A74B">
                <wp:simplePos x="0" y="0"/>
                <wp:positionH relativeFrom="column">
                  <wp:posOffset>1304925</wp:posOffset>
                </wp:positionH>
                <wp:positionV relativeFrom="paragraph">
                  <wp:posOffset>3810</wp:posOffset>
                </wp:positionV>
                <wp:extent cx="76200" cy="266700"/>
                <wp:effectExtent l="0" t="0" r="0" b="0"/>
                <wp:wrapNone/>
                <wp:docPr id="1395388771"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32" o:spid="_x0000_s1026" o:spt="67" type="#_x0000_t67" style="position:absolute;left:0pt;margin-left:102.75pt;margin-top:0.3pt;height:21pt;width:6pt;z-index:251663360;mso-width-relative:page;mso-height-relative:page;" fillcolor="#000000" filled="t" stroked="t" coordsize="21600,21600" o:gfxdata="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wfzkE1QAAAAcBAAAPAAAAAAAAAAEAIAAA&#10;ACIAAABkcnMvZG93bnJldi54bWxQSwECFAAUAAAACACHTuJACiYTDUgCAADSBAAADgAAAAAAAAAB&#10;ACAAAAAk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72F5DB6D" w14:textId="77777777" w:rsidR="00DD751D" w:rsidRDefault="00DD751D">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DD751D" w14:paraId="79E46152" w14:textId="77777777">
        <w:trPr>
          <w:trHeight w:val="303"/>
        </w:trPr>
        <w:tc>
          <w:tcPr>
            <w:tcW w:w="3604" w:type="dxa"/>
            <w:shd w:val="clear" w:color="auto" w:fill="auto"/>
          </w:tcPr>
          <w:p w14:paraId="5CEFE300" w14:textId="77777777" w:rsidR="00DD751D" w:rsidRDefault="00000000">
            <w:pPr>
              <w:tabs>
                <w:tab w:val="left" w:pos="360"/>
              </w:tabs>
              <w:jc w:val="both"/>
              <w:rPr>
                <w:rFonts w:ascii="Arial" w:hAnsi="Arial" w:cs="Arial"/>
                <w:bCs/>
                <w:sz w:val="18"/>
                <w:szCs w:val="18"/>
              </w:rPr>
            </w:pPr>
            <w:r>
              <w:rPr>
                <w:rFonts w:ascii="Arial" w:hAnsi="Arial" w:cs="Arial"/>
                <w:bCs/>
                <w:sz w:val="18"/>
                <w:szCs w:val="18"/>
              </w:rPr>
              <w:t>Wash Microwells 5 times with 350 µl of diluted wash buffer</w:t>
            </w:r>
          </w:p>
        </w:tc>
      </w:tr>
    </w:tbl>
    <w:p w14:paraId="49767D53" w14:textId="77777777" w:rsidR="00DD751D"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6432" behindDoc="0" locked="0" layoutInCell="1" allowOverlap="1" wp14:anchorId="1C73BC05" wp14:editId="1F00C224">
                <wp:simplePos x="0" y="0"/>
                <wp:positionH relativeFrom="column">
                  <wp:posOffset>1314450</wp:posOffset>
                </wp:positionH>
                <wp:positionV relativeFrom="paragraph">
                  <wp:posOffset>1270</wp:posOffset>
                </wp:positionV>
                <wp:extent cx="76200" cy="266700"/>
                <wp:effectExtent l="19050" t="0" r="38100" b="38100"/>
                <wp:wrapNone/>
                <wp:docPr id="27237125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3.5pt;margin-top:0.1pt;height:21pt;width:6pt;z-index:251666432;mso-width-relative:page;mso-height-relative:page;" fillcolor="#000000" filled="t" stroked="t" coordsize="21600,21600" o:gfxdata="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EzLQU1QAAAAcBAAAPAAAAAAAAAAEAIAAA&#10;ACIAAABkcnMvZG93bnJldi54bWxQSwECFAAUAAAACACHTuJAPZ7ih0gCAADRBAAADgAAAAAAAAAB&#10;ACAAAAAk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61B2C0C7" w14:textId="77777777" w:rsidR="00DD751D" w:rsidRDefault="00DD751D">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DD751D" w14:paraId="3D66B830" w14:textId="77777777">
        <w:tc>
          <w:tcPr>
            <w:tcW w:w="3604" w:type="dxa"/>
            <w:shd w:val="clear" w:color="auto" w:fill="auto"/>
          </w:tcPr>
          <w:p w14:paraId="219A7427" w14:textId="77777777" w:rsidR="00DD751D" w:rsidRDefault="00000000">
            <w:pPr>
              <w:tabs>
                <w:tab w:val="left" w:pos="360"/>
              </w:tabs>
              <w:jc w:val="both"/>
              <w:rPr>
                <w:rFonts w:ascii="Arial" w:hAnsi="Arial" w:cs="Arial"/>
                <w:bCs/>
                <w:sz w:val="18"/>
                <w:szCs w:val="18"/>
              </w:rPr>
            </w:pPr>
            <w:r>
              <w:rPr>
                <w:rFonts w:ascii="Arial" w:hAnsi="Arial" w:cs="Arial"/>
                <w:bCs/>
                <w:sz w:val="18"/>
                <w:szCs w:val="18"/>
              </w:rPr>
              <w:t>Add 100 µl substrate in each well</w:t>
            </w:r>
          </w:p>
        </w:tc>
      </w:tr>
    </w:tbl>
    <w:p w14:paraId="28B4CFDF" w14:textId="77777777" w:rsidR="00DD751D"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8480" behindDoc="0" locked="0" layoutInCell="1" allowOverlap="1" wp14:anchorId="7B24AD00" wp14:editId="490DD59B">
                <wp:simplePos x="0" y="0"/>
                <wp:positionH relativeFrom="column">
                  <wp:posOffset>1333500</wp:posOffset>
                </wp:positionH>
                <wp:positionV relativeFrom="paragraph">
                  <wp:posOffset>10795</wp:posOffset>
                </wp:positionV>
                <wp:extent cx="76200" cy="266700"/>
                <wp:effectExtent l="19050" t="0" r="38100" b="38100"/>
                <wp:wrapNone/>
                <wp:docPr id="1256119412"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5pt;margin-top:0.85pt;height:21pt;width:6pt;z-index:251668480;mso-width-relative:page;mso-height-relative:page;" fillcolor="#000000" filled="t" stroked="t" coordsize="21600,21600" o:gfxdata="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JT+3mnWAAAACAEAAA8AAAAAAAAAAQAg&#10;AAAAIgAAAGRycy9kb3ducmV2LnhtbFBLAQIUABQAAAAIAIdO4kAgoP/2SQIAANIEAAAOAAAAAAAA&#10;AAEAIAAAACU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3B976DF6" w14:textId="77777777" w:rsidR="00DD751D" w:rsidRDefault="00DD751D">
      <w:pPr>
        <w:tabs>
          <w:tab w:val="left" w:pos="360"/>
        </w:tabs>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DD751D" w14:paraId="4494FF78" w14:textId="77777777">
        <w:trPr>
          <w:trHeight w:val="303"/>
        </w:trPr>
        <w:tc>
          <w:tcPr>
            <w:tcW w:w="3604" w:type="dxa"/>
            <w:shd w:val="clear" w:color="auto" w:fill="auto"/>
          </w:tcPr>
          <w:p w14:paraId="3B6248F0" w14:textId="77777777" w:rsidR="00DD751D" w:rsidRDefault="00000000">
            <w:pPr>
              <w:tabs>
                <w:tab w:val="left" w:pos="360"/>
              </w:tabs>
              <w:jc w:val="both"/>
              <w:rPr>
                <w:rFonts w:ascii="Arial" w:hAnsi="Arial" w:cs="Arial"/>
                <w:bCs/>
                <w:sz w:val="18"/>
                <w:szCs w:val="18"/>
              </w:rPr>
            </w:pPr>
            <w:r>
              <w:rPr>
                <w:rFonts w:ascii="Arial" w:hAnsi="Arial" w:cs="Arial"/>
                <w:bCs/>
                <w:sz w:val="18"/>
                <w:szCs w:val="18"/>
              </w:rPr>
              <w:t>Incubate for 20 minutes at 18-25°C in dark</w:t>
            </w:r>
          </w:p>
        </w:tc>
      </w:tr>
    </w:tbl>
    <w:p w14:paraId="23198818" w14:textId="77777777" w:rsidR="00DD751D"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7456" behindDoc="0" locked="0" layoutInCell="1" allowOverlap="1" wp14:anchorId="32C877D9" wp14:editId="4FAA7FD2">
                <wp:simplePos x="0" y="0"/>
                <wp:positionH relativeFrom="column">
                  <wp:posOffset>1314450</wp:posOffset>
                </wp:positionH>
                <wp:positionV relativeFrom="paragraph">
                  <wp:posOffset>1270</wp:posOffset>
                </wp:positionV>
                <wp:extent cx="76200" cy="266700"/>
                <wp:effectExtent l="19050" t="0" r="38100" b="38100"/>
                <wp:wrapNone/>
                <wp:docPr id="2109035420"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3.5pt;margin-top:0.1pt;height:21pt;width:6pt;z-index:251667456;mso-width-relative:page;mso-height-relative:page;" fillcolor="#000000" filled="t" stroked="t" coordsize="21600,21600" o:gfxdata="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BMy0FNUAAAAHAQAADwAAAAAAAAABACAA&#10;AAAiAAAAZHJzL2Rvd25yZXYueG1sUEsBAhQAFAAAAAgAh07iQGDCphBJAgAA0gQAAA4AAAAAAAAA&#10;AQAgAAAAJAEAAGRycy9lMm9Eb2MueG1sUEsFBgAAAAAGAAYAWQEAAN8FAAAAAA==&#10;" adj="16200,5400">
                <v:fill on="t" focussize="0,0"/>
                <v:stroke color="#000000" miterlimit="8" joinstyle="miter"/>
                <v:imagedata o:title=""/>
                <o:lock v:ext="edit" aspectratio="f"/>
                <v:textbox style="layout-flow:vertical-ideographic;"/>
              </v:shape>
            </w:pict>
          </mc:Fallback>
        </mc:AlternateContent>
      </w:r>
    </w:p>
    <w:p w14:paraId="2586D0F8" w14:textId="77777777" w:rsidR="00DD751D" w:rsidRDefault="00DD751D">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DD751D" w14:paraId="148DC826" w14:textId="77777777">
        <w:tc>
          <w:tcPr>
            <w:tcW w:w="3604" w:type="dxa"/>
            <w:shd w:val="clear" w:color="auto" w:fill="auto"/>
          </w:tcPr>
          <w:p w14:paraId="400B822D" w14:textId="77777777" w:rsidR="00DD751D" w:rsidRDefault="00000000">
            <w:pPr>
              <w:tabs>
                <w:tab w:val="left" w:pos="360"/>
              </w:tabs>
              <w:jc w:val="both"/>
              <w:rPr>
                <w:rFonts w:ascii="Arial" w:hAnsi="Arial" w:cs="Arial"/>
                <w:bCs/>
                <w:sz w:val="18"/>
                <w:szCs w:val="18"/>
              </w:rPr>
            </w:pPr>
            <w:r>
              <w:rPr>
                <w:rFonts w:ascii="Arial" w:hAnsi="Arial" w:cs="Arial"/>
                <w:bCs/>
                <w:sz w:val="18"/>
                <w:szCs w:val="18"/>
              </w:rPr>
              <w:t>Add 100 µl stop solution in each well</w:t>
            </w:r>
          </w:p>
        </w:tc>
      </w:tr>
    </w:tbl>
    <w:p w14:paraId="1E441E71" w14:textId="77777777" w:rsidR="00DD751D" w:rsidRDefault="00000000">
      <w:pPr>
        <w:tabs>
          <w:tab w:val="left" w:pos="360"/>
        </w:tabs>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9504" behindDoc="0" locked="0" layoutInCell="1" allowOverlap="1" wp14:anchorId="5AF679C6" wp14:editId="3CAA7CA4">
                <wp:simplePos x="0" y="0"/>
                <wp:positionH relativeFrom="column">
                  <wp:posOffset>1314450</wp:posOffset>
                </wp:positionH>
                <wp:positionV relativeFrom="paragraph">
                  <wp:posOffset>8255</wp:posOffset>
                </wp:positionV>
                <wp:extent cx="76200" cy="266700"/>
                <wp:effectExtent l="19050" t="0" r="38100" b="38100"/>
                <wp:wrapNone/>
                <wp:docPr id="210060902"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3.5pt;margin-top:0.65pt;height:21pt;width:6pt;z-index:251669504;mso-width-relative:page;mso-height-relative:page;" fillcolor="#000000" filled="t" stroked="t" coordsize="21600,21600" o:gfxdata="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CCu0WfXAAAACAEAAA8AAAAAAAAAAQAg&#10;AAAAIgAAAGRycy9kb3ducmV2LnhtbFBLAQIUABQAAAAIAIdO4kDGevdmSAIAANEEAAAOAAAAAAAA&#10;AAEAIAAAACY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36509737" w14:textId="77777777" w:rsidR="00DD751D" w:rsidRDefault="00DD751D">
      <w:pPr>
        <w:tabs>
          <w:tab w:val="left" w:pos="360"/>
        </w:tabs>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DD751D" w14:paraId="5D7D7C70" w14:textId="77777777">
        <w:tc>
          <w:tcPr>
            <w:tcW w:w="3604" w:type="dxa"/>
            <w:shd w:val="clear" w:color="auto" w:fill="auto"/>
          </w:tcPr>
          <w:p w14:paraId="4CC5DB5E" w14:textId="77777777" w:rsidR="00DD751D" w:rsidRDefault="00000000">
            <w:pPr>
              <w:tabs>
                <w:tab w:val="left" w:pos="360"/>
              </w:tabs>
              <w:jc w:val="both"/>
              <w:rPr>
                <w:rFonts w:ascii="Arial" w:hAnsi="Arial" w:cs="Arial"/>
                <w:bCs/>
                <w:sz w:val="18"/>
                <w:szCs w:val="18"/>
              </w:rPr>
            </w:pPr>
            <w:r>
              <w:rPr>
                <w:rFonts w:ascii="Arial" w:hAnsi="Arial" w:cs="Arial"/>
                <w:bCs/>
                <w:sz w:val="18"/>
                <w:szCs w:val="18"/>
              </w:rPr>
              <w:t>Read results @450nm (Ref.600-700nm) within 15 minutes</w:t>
            </w:r>
          </w:p>
        </w:tc>
      </w:tr>
    </w:tbl>
    <w:p w14:paraId="321BC5FB" w14:textId="77777777" w:rsidR="00DD751D" w:rsidRDefault="00DD751D">
      <w:pPr>
        <w:tabs>
          <w:tab w:val="left" w:pos="360"/>
        </w:tabs>
        <w:jc w:val="both"/>
        <w:rPr>
          <w:rFonts w:ascii="Arial" w:hAnsi="Arial" w:cs="Arial"/>
          <w:bCs/>
          <w:sz w:val="18"/>
          <w:szCs w:val="18"/>
        </w:rPr>
      </w:pPr>
    </w:p>
    <w:p w14:paraId="6E86FA3C" w14:textId="77777777" w:rsidR="00DD751D" w:rsidRDefault="00000000">
      <w:pPr>
        <w:tabs>
          <w:tab w:val="left" w:pos="360"/>
        </w:tabs>
        <w:jc w:val="both"/>
        <w:rPr>
          <w:rFonts w:ascii="Arial" w:hAnsi="Arial" w:cs="Arial"/>
          <w:bCs/>
          <w:sz w:val="18"/>
          <w:szCs w:val="18"/>
        </w:rPr>
      </w:pPr>
      <w:r>
        <w:rPr>
          <w:rFonts w:ascii="Arial" w:hAnsi="Arial" w:cs="Arial"/>
          <w:bCs/>
          <w:sz w:val="18"/>
          <w:szCs w:val="18"/>
        </w:rPr>
        <w:t>CALCULATION OF RESULTS</w:t>
      </w:r>
    </w:p>
    <w:p w14:paraId="4B3AB7A6" w14:textId="77777777" w:rsidR="00DD751D" w:rsidRDefault="00000000">
      <w:pPr>
        <w:tabs>
          <w:tab w:val="left" w:pos="360"/>
        </w:tabs>
        <w:jc w:val="both"/>
        <w:rPr>
          <w:rFonts w:ascii="Arial" w:hAnsi="Arial" w:cs="Arial"/>
          <w:bCs/>
          <w:sz w:val="18"/>
          <w:szCs w:val="18"/>
        </w:rPr>
      </w:pPr>
      <w:r>
        <w:rPr>
          <w:rFonts w:ascii="Arial" w:hAnsi="Arial" w:cs="Arial"/>
          <w:bCs/>
          <w:sz w:val="18"/>
          <w:szCs w:val="18"/>
        </w:rPr>
        <w:t xml:space="preserve">Calculate the mean absorbance value for each set of reference standards, specimens and patient samples. Construct a standard curve by plotting the mean absorbance obtained from each reference standard against its concentration in IU/ml on graph paper, with absorbance values on the vertical or Y axis and concentrations on the horizontal or X axis. Use the mean absorbance values for each specimen to determine the corresponding concentration of </w:t>
      </w:r>
      <w:proofErr w:type="spellStart"/>
      <w:r>
        <w:rPr>
          <w:rFonts w:ascii="Arial" w:hAnsi="Arial" w:cs="Arial"/>
          <w:bCs/>
          <w:sz w:val="18"/>
          <w:szCs w:val="18"/>
        </w:rPr>
        <w:t>IgE</w:t>
      </w:r>
      <w:proofErr w:type="spellEnd"/>
      <w:r>
        <w:rPr>
          <w:rFonts w:ascii="Arial" w:hAnsi="Arial" w:cs="Arial"/>
          <w:bCs/>
          <w:sz w:val="18"/>
          <w:szCs w:val="18"/>
        </w:rPr>
        <w:t xml:space="preserve"> in IU/ml from the standard curve.</w:t>
      </w:r>
    </w:p>
    <w:p w14:paraId="26A42BDB" w14:textId="77777777" w:rsidR="00DD751D" w:rsidRDefault="00DD751D">
      <w:pPr>
        <w:tabs>
          <w:tab w:val="left" w:pos="360"/>
        </w:tabs>
        <w:jc w:val="both"/>
        <w:rPr>
          <w:rFonts w:ascii="Arial" w:hAnsi="Arial" w:cs="Arial"/>
          <w:bCs/>
          <w:sz w:val="18"/>
          <w:szCs w:val="18"/>
        </w:rPr>
      </w:pPr>
    </w:p>
    <w:p w14:paraId="03332E27" w14:textId="77777777" w:rsidR="00DD751D" w:rsidRDefault="00000000">
      <w:pPr>
        <w:tabs>
          <w:tab w:val="left" w:pos="360"/>
        </w:tabs>
        <w:jc w:val="both"/>
        <w:rPr>
          <w:rFonts w:ascii="Arial" w:hAnsi="Arial" w:cs="Arial"/>
          <w:bCs/>
          <w:sz w:val="18"/>
          <w:szCs w:val="18"/>
        </w:rPr>
      </w:pPr>
      <w:r>
        <w:rPr>
          <w:rFonts w:ascii="Arial" w:hAnsi="Arial" w:cs="Arial"/>
          <w:bCs/>
          <w:sz w:val="18"/>
          <w:szCs w:val="18"/>
        </w:rPr>
        <w:t>Example of Standard curve</w:t>
      </w:r>
    </w:p>
    <w:p w14:paraId="5D7E4D7B" w14:textId="77777777" w:rsidR="00DD751D" w:rsidRDefault="00000000">
      <w:pPr>
        <w:tabs>
          <w:tab w:val="left" w:pos="360"/>
        </w:tabs>
        <w:jc w:val="both"/>
        <w:rPr>
          <w:rFonts w:ascii="Arial" w:hAnsi="Arial" w:cs="Arial"/>
          <w:bCs/>
          <w:sz w:val="18"/>
          <w:szCs w:val="18"/>
        </w:rPr>
      </w:pPr>
      <w:r>
        <w:rPr>
          <w:rFonts w:ascii="Arial" w:hAnsi="Arial" w:cs="Arial"/>
          <w:bCs/>
          <w:sz w:val="18"/>
          <w:szCs w:val="18"/>
        </w:rPr>
        <w:t>Results of typical standard run with optical density reading at 450nm (ref 600- 700nm) shown in the Y</w:t>
      </w:r>
      <w:r>
        <w:rPr>
          <w:rFonts w:ascii="Arial" w:hAnsi="Arial" w:cs="Arial"/>
          <w:bCs/>
          <w:sz w:val="18"/>
          <w:szCs w:val="18"/>
          <w:lang w:val="en-GB"/>
        </w:rPr>
        <w:t xml:space="preserve"> </w:t>
      </w:r>
      <w:r>
        <w:rPr>
          <w:rFonts w:ascii="Arial" w:hAnsi="Arial" w:cs="Arial"/>
          <w:bCs/>
          <w:sz w:val="18"/>
          <w:szCs w:val="18"/>
        </w:rPr>
        <w:t xml:space="preserve">axis against </w:t>
      </w:r>
      <w:proofErr w:type="spellStart"/>
      <w:r>
        <w:rPr>
          <w:rFonts w:ascii="Arial" w:hAnsi="Arial" w:cs="Arial"/>
          <w:bCs/>
          <w:sz w:val="18"/>
          <w:szCs w:val="18"/>
        </w:rPr>
        <w:t>IgE</w:t>
      </w:r>
      <w:proofErr w:type="spellEnd"/>
      <w:r>
        <w:rPr>
          <w:rFonts w:ascii="Arial" w:hAnsi="Arial" w:cs="Arial"/>
          <w:bCs/>
          <w:sz w:val="18"/>
          <w:szCs w:val="18"/>
        </w:rPr>
        <w:t xml:space="preserve"> concentrations shown in the X axis.</w:t>
      </w:r>
    </w:p>
    <w:p w14:paraId="516F542E" w14:textId="77777777" w:rsidR="00DD751D" w:rsidRDefault="00000000">
      <w:pPr>
        <w:tabs>
          <w:tab w:val="left" w:pos="360"/>
        </w:tabs>
        <w:jc w:val="both"/>
        <w:rPr>
          <w:rFonts w:ascii="Arial" w:hAnsi="Arial" w:cs="Arial"/>
          <w:bCs/>
          <w:sz w:val="18"/>
          <w:szCs w:val="18"/>
        </w:rPr>
      </w:pPr>
      <w:r>
        <w:rPr>
          <w:rFonts w:ascii="Arial" w:hAnsi="Arial" w:cs="Arial"/>
          <w:bCs/>
          <w:sz w:val="18"/>
          <w:szCs w:val="18"/>
        </w:rPr>
        <w:t>Suggest: Use 4-Parameter Standard curve to calculate sample value</w:t>
      </w:r>
    </w:p>
    <w:p w14:paraId="36FD5A27" w14:textId="77777777" w:rsidR="00DD751D" w:rsidRDefault="00DD751D">
      <w:pPr>
        <w:tabs>
          <w:tab w:val="left" w:pos="360"/>
        </w:tabs>
        <w:jc w:val="both"/>
        <w:rPr>
          <w:rFonts w:ascii="Arial" w:hAnsi="Arial" w:cs="Arial"/>
          <w:bCs/>
          <w:sz w:val="18"/>
          <w:szCs w:val="18"/>
        </w:rPr>
      </w:pPr>
    </w:p>
    <w:tbl>
      <w:tblPr>
        <w:tblStyle w:val="TableGrid"/>
        <w:tblW w:w="0" w:type="auto"/>
        <w:tblLook w:val="04A0" w:firstRow="1" w:lastRow="0" w:firstColumn="1" w:lastColumn="0" w:noHBand="0" w:noVBand="1"/>
      </w:tblPr>
      <w:tblGrid>
        <w:gridCol w:w="1915"/>
        <w:gridCol w:w="1915"/>
      </w:tblGrid>
      <w:tr w:rsidR="00DD751D" w14:paraId="4A3B603A" w14:textId="77777777">
        <w:tc>
          <w:tcPr>
            <w:tcW w:w="1915" w:type="dxa"/>
          </w:tcPr>
          <w:p w14:paraId="30786428" w14:textId="77777777" w:rsidR="00DD751D" w:rsidRDefault="00000000">
            <w:pPr>
              <w:tabs>
                <w:tab w:val="left" w:pos="360"/>
              </w:tabs>
              <w:ind w:left="589" w:hanging="142"/>
              <w:jc w:val="both"/>
              <w:rPr>
                <w:rFonts w:ascii="Arial" w:hAnsi="Arial" w:cs="Arial"/>
                <w:bCs/>
                <w:sz w:val="18"/>
                <w:szCs w:val="18"/>
              </w:rPr>
            </w:pPr>
            <w:proofErr w:type="spellStart"/>
            <w:r>
              <w:rPr>
                <w:rFonts w:ascii="Arial" w:hAnsi="Arial" w:cs="Arial"/>
                <w:bCs/>
                <w:sz w:val="18"/>
                <w:szCs w:val="18"/>
              </w:rPr>
              <w:t>IgE</w:t>
            </w:r>
            <w:proofErr w:type="spellEnd"/>
            <w:r>
              <w:rPr>
                <w:rFonts w:ascii="Arial" w:hAnsi="Arial" w:cs="Arial"/>
                <w:bCs/>
                <w:sz w:val="18"/>
                <w:szCs w:val="18"/>
              </w:rPr>
              <w:t xml:space="preserve"> (IU/ml)</w:t>
            </w:r>
          </w:p>
        </w:tc>
        <w:tc>
          <w:tcPr>
            <w:tcW w:w="1915" w:type="dxa"/>
          </w:tcPr>
          <w:p w14:paraId="15A73225" w14:textId="77777777" w:rsidR="00DD751D" w:rsidRDefault="00000000">
            <w:pPr>
              <w:tabs>
                <w:tab w:val="left" w:pos="360"/>
              </w:tabs>
              <w:jc w:val="both"/>
              <w:rPr>
                <w:rFonts w:ascii="Arial" w:hAnsi="Arial" w:cs="Arial"/>
                <w:bCs/>
                <w:sz w:val="18"/>
                <w:szCs w:val="18"/>
              </w:rPr>
            </w:pPr>
            <w:r>
              <w:rPr>
                <w:rFonts w:ascii="Arial" w:hAnsi="Arial" w:cs="Arial"/>
                <w:bCs/>
                <w:sz w:val="18"/>
                <w:szCs w:val="18"/>
              </w:rPr>
              <w:t xml:space="preserve">Absorbance (450nm) </w:t>
            </w:r>
          </w:p>
        </w:tc>
      </w:tr>
      <w:tr w:rsidR="00DD751D" w14:paraId="326A88AC" w14:textId="77777777">
        <w:tc>
          <w:tcPr>
            <w:tcW w:w="1915" w:type="dxa"/>
          </w:tcPr>
          <w:p w14:paraId="62E7600B" w14:textId="77777777" w:rsidR="00DD751D" w:rsidRDefault="00000000">
            <w:pPr>
              <w:tabs>
                <w:tab w:val="left" w:pos="360"/>
              </w:tabs>
              <w:jc w:val="center"/>
              <w:rPr>
                <w:rFonts w:ascii="Arial" w:hAnsi="Arial" w:cs="Arial"/>
                <w:bCs/>
                <w:sz w:val="18"/>
                <w:szCs w:val="18"/>
              </w:rPr>
            </w:pPr>
            <w:r>
              <w:rPr>
                <w:rFonts w:ascii="Arial" w:hAnsi="Arial" w:cs="Arial"/>
                <w:bCs/>
                <w:sz w:val="18"/>
                <w:szCs w:val="18"/>
              </w:rPr>
              <w:t>A</w:t>
            </w:r>
          </w:p>
        </w:tc>
        <w:tc>
          <w:tcPr>
            <w:tcW w:w="1915" w:type="dxa"/>
          </w:tcPr>
          <w:p w14:paraId="615C7111" w14:textId="77777777" w:rsidR="00DD751D" w:rsidRDefault="00000000">
            <w:pPr>
              <w:tabs>
                <w:tab w:val="left" w:pos="360"/>
              </w:tabs>
              <w:jc w:val="center"/>
              <w:rPr>
                <w:rFonts w:ascii="Arial" w:hAnsi="Arial" w:cs="Arial"/>
                <w:bCs/>
                <w:sz w:val="18"/>
                <w:szCs w:val="18"/>
              </w:rPr>
            </w:pPr>
            <w:r>
              <w:rPr>
                <w:rFonts w:ascii="Arial" w:hAnsi="Arial" w:cs="Arial"/>
                <w:bCs/>
                <w:sz w:val="18"/>
                <w:szCs w:val="18"/>
              </w:rPr>
              <w:t>0.0168</w:t>
            </w:r>
          </w:p>
        </w:tc>
      </w:tr>
      <w:tr w:rsidR="00DD751D" w14:paraId="318F2547" w14:textId="77777777">
        <w:tc>
          <w:tcPr>
            <w:tcW w:w="1915" w:type="dxa"/>
          </w:tcPr>
          <w:p w14:paraId="3C09ECC0" w14:textId="77777777" w:rsidR="00DD751D" w:rsidRDefault="00000000">
            <w:pPr>
              <w:tabs>
                <w:tab w:val="left" w:pos="360"/>
              </w:tabs>
              <w:jc w:val="center"/>
              <w:rPr>
                <w:rFonts w:ascii="Arial" w:hAnsi="Arial" w:cs="Arial"/>
                <w:bCs/>
                <w:sz w:val="18"/>
                <w:szCs w:val="18"/>
              </w:rPr>
            </w:pPr>
            <w:r>
              <w:rPr>
                <w:rFonts w:ascii="Arial" w:hAnsi="Arial" w:cs="Arial"/>
                <w:bCs/>
                <w:sz w:val="18"/>
                <w:szCs w:val="18"/>
              </w:rPr>
              <w:t>B</w:t>
            </w:r>
          </w:p>
        </w:tc>
        <w:tc>
          <w:tcPr>
            <w:tcW w:w="1915" w:type="dxa"/>
          </w:tcPr>
          <w:p w14:paraId="63CC596A" w14:textId="77777777" w:rsidR="00DD751D" w:rsidRDefault="00000000">
            <w:pPr>
              <w:tabs>
                <w:tab w:val="left" w:pos="360"/>
              </w:tabs>
              <w:jc w:val="center"/>
              <w:rPr>
                <w:rFonts w:ascii="Arial" w:hAnsi="Arial" w:cs="Arial"/>
                <w:bCs/>
                <w:sz w:val="18"/>
                <w:szCs w:val="18"/>
              </w:rPr>
            </w:pPr>
            <w:r>
              <w:rPr>
                <w:rFonts w:ascii="Arial" w:hAnsi="Arial" w:cs="Arial"/>
                <w:bCs/>
                <w:sz w:val="18"/>
                <w:szCs w:val="18"/>
              </w:rPr>
              <w:t>0.1588</w:t>
            </w:r>
          </w:p>
        </w:tc>
      </w:tr>
      <w:tr w:rsidR="00DD751D" w14:paraId="792C7045" w14:textId="77777777">
        <w:tc>
          <w:tcPr>
            <w:tcW w:w="1915" w:type="dxa"/>
          </w:tcPr>
          <w:p w14:paraId="5B95F29A" w14:textId="77777777" w:rsidR="00DD751D" w:rsidRDefault="00000000">
            <w:pPr>
              <w:tabs>
                <w:tab w:val="left" w:pos="360"/>
              </w:tabs>
              <w:jc w:val="center"/>
              <w:rPr>
                <w:rFonts w:ascii="Arial" w:hAnsi="Arial" w:cs="Arial"/>
                <w:bCs/>
                <w:sz w:val="18"/>
                <w:szCs w:val="18"/>
              </w:rPr>
            </w:pPr>
            <w:r>
              <w:rPr>
                <w:rFonts w:ascii="Arial" w:hAnsi="Arial" w:cs="Arial"/>
                <w:bCs/>
                <w:sz w:val="18"/>
                <w:szCs w:val="18"/>
              </w:rPr>
              <w:t>C</w:t>
            </w:r>
          </w:p>
        </w:tc>
        <w:tc>
          <w:tcPr>
            <w:tcW w:w="1915" w:type="dxa"/>
          </w:tcPr>
          <w:p w14:paraId="2288E7AC" w14:textId="77777777" w:rsidR="00DD751D" w:rsidRDefault="00000000">
            <w:pPr>
              <w:tabs>
                <w:tab w:val="left" w:pos="360"/>
              </w:tabs>
              <w:jc w:val="center"/>
              <w:rPr>
                <w:rFonts w:ascii="Arial" w:hAnsi="Arial" w:cs="Arial"/>
                <w:bCs/>
                <w:sz w:val="18"/>
                <w:szCs w:val="18"/>
              </w:rPr>
            </w:pPr>
            <w:r>
              <w:rPr>
                <w:rFonts w:ascii="Arial" w:hAnsi="Arial" w:cs="Arial"/>
                <w:bCs/>
                <w:sz w:val="18"/>
                <w:szCs w:val="18"/>
              </w:rPr>
              <w:t>0.5314</w:t>
            </w:r>
          </w:p>
        </w:tc>
      </w:tr>
      <w:tr w:rsidR="00DD751D" w14:paraId="13B392E5" w14:textId="77777777">
        <w:tc>
          <w:tcPr>
            <w:tcW w:w="1915" w:type="dxa"/>
          </w:tcPr>
          <w:p w14:paraId="38DC0F83" w14:textId="77777777" w:rsidR="00DD751D" w:rsidRDefault="00000000">
            <w:pPr>
              <w:tabs>
                <w:tab w:val="left" w:pos="360"/>
              </w:tabs>
              <w:jc w:val="center"/>
              <w:rPr>
                <w:rFonts w:ascii="Arial" w:hAnsi="Arial" w:cs="Arial"/>
                <w:bCs/>
                <w:sz w:val="18"/>
                <w:szCs w:val="18"/>
              </w:rPr>
            </w:pPr>
            <w:r>
              <w:rPr>
                <w:rFonts w:ascii="Arial" w:hAnsi="Arial" w:cs="Arial"/>
                <w:bCs/>
                <w:sz w:val="18"/>
                <w:szCs w:val="18"/>
              </w:rPr>
              <w:t>D</w:t>
            </w:r>
          </w:p>
        </w:tc>
        <w:tc>
          <w:tcPr>
            <w:tcW w:w="1915" w:type="dxa"/>
          </w:tcPr>
          <w:p w14:paraId="6D4BE596" w14:textId="77777777" w:rsidR="00DD751D" w:rsidRDefault="00000000">
            <w:pPr>
              <w:tabs>
                <w:tab w:val="left" w:pos="360"/>
              </w:tabs>
              <w:jc w:val="center"/>
              <w:rPr>
                <w:rFonts w:ascii="Arial" w:hAnsi="Arial" w:cs="Arial"/>
                <w:bCs/>
                <w:sz w:val="18"/>
                <w:szCs w:val="18"/>
              </w:rPr>
            </w:pPr>
            <w:r>
              <w:rPr>
                <w:rFonts w:ascii="Arial" w:hAnsi="Arial" w:cs="Arial"/>
                <w:bCs/>
                <w:sz w:val="18"/>
                <w:szCs w:val="18"/>
              </w:rPr>
              <w:t>0.8995</w:t>
            </w:r>
          </w:p>
        </w:tc>
      </w:tr>
      <w:tr w:rsidR="00DD751D" w14:paraId="2EDCF31D" w14:textId="77777777">
        <w:tc>
          <w:tcPr>
            <w:tcW w:w="1915" w:type="dxa"/>
          </w:tcPr>
          <w:p w14:paraId="6B172824" w14:textId="77777777" w:rsidR="00DD751D" w:rsidRDefault="00000000">
            <w:pPr>
              <w:tabs>
                <w:tab w:val="left" w:pos="360"/>
              </w:tabs>
              <w:jc w:val="center"/>
              <w:rPr>
                <w:rFonts w:ascii="Arial" w:hAnsi="Arial" w:cs="Arial"/>
                <w:bCs/>
                <w:sz w:val="18"/>
                <w:szCs w:val="18"/>
              </w:rPr>
            </w:pPr>
            <w:r>
              <w:rPr>
                <w:rFonts w:ascii="Arial" w:hAnsi="Arial" w:cs="Arial"/>
                <w:bCs/>
                <w:sz w:val="18"/>
                <w:szCs w:val="18"/>
              </w:rPr>
              <w:t>E</w:t>
            </w:r>
          </w:p>
        </w:tc>
        <w:tc>
          <w:tcPr>
            <w:tcW w:w="1915" w:type="dxa"/>
          </w:tcPr>
          <w:p w14:paraId="726BDBD2" w14:textId="77777777" w:rsidR="00DD751D" w:rsidRDefault="00000000">
            <w:pPr>
              <w:tabs>
                <w:tab w:val="left" w:pos="360"/>
              </w:tabs>
              <w:jc w:val="center"/>
              <w:rPr>
                <w:rFonts w:ascii="Arial" w:hAnsi="Arial" w:cs="Arial"/>
                <w:bCs/>
                <w:sz w:val="18"/>
                <w:szCs w:val="18"/>
              </w:rPr>
            </w:pPr>
            <w:r>
              <w:rPr>
                <w:rFonts w:ascii="Arial" w:hAnsi="Arial" w:cs="Arial"/>
                <w:bCs/>
                <w:sz w:val="18"/>
                <w:szCs w:val="18"/>
              </w:rPr>
              <w:t>1.6582</w:t>
            </w:r>
          </w:p>
        </w:tc>
      </w:tr>
      <w:tr w:rsidR="00DD751D" w14:paraId="706403F2" w14:textId="77777777">
        <w:tc>
          <w:tcPr>
            <w:tcW w:w="1915" w:type="dxa"/>
          </w:tcPr>
          <w:p w14:paraId="6D6761B2" w14:textId="77777777" w:rsidR="00DD751D" w:rsidRDefault="00000000">
            <w:pPr>
              <w:tabs>
                <w:tab w:val="left" w:pos="360"/>
              </w:tabs>
              <w:jc w:val="center"/>
              <w:rPr>
                <w:rFonts w:ascii="Arial" w:hAnsi="Arial" w:cs="Arial"/>
                <w:bCs/>
                <w:sz w:val="18"/>
                <w:szCs w:val="18"/>
              </w:rPr>
            </w:pPr>
            <w:r>
              <w:rPr>
                <w:rFonts w:ascii="Arial" w:hAnsi="Arial" w:cs="Arial"/>
                <w:bCs/>
                <w:sz w:val="18"/>
                <w:szCs w:val="18"/>
              </w:rPr>
              <w:t>F</w:t>
            </w:r>
          </w:p>
        </w:tc>
        <w:tc>
          <w:tcPr>
            <w:tcW w:w="1915" w:type="dxa"/>
          </w:tcPr>
          <w:p w14:paraId="321BD26A" w14:textId="77777777" w:rsidR="00DD751D" w:rsidRDefault="00000000">
            <w:pPr>
              <w:tabs>
                <w:tab w:val="left" w:pos="360"/>
              </w:tabs>
              <w:jc w:val="center"/>
              <w:rPr>
                <w:rFonts w:ascii="Arial" w:hAnsi="Arial" w:cs="Arial"/>
                <w:bCs/>
                <w:sz w:val="18"/>
                <w:szCs w:val="18"/>
              </w:rPr>
            </w:pPr>
            <w:r>
              <w:rPr>
                <w:rFonts w:ascii="Arial" w:hAnsi="Arial" w:cs="Arial"/>
                <w:bCs/>
                <w:sz w:val="18"/>
                <w:szCs w:val="18"/>
              </w:rPr>
              <w:t>1.8180</w:t>
            </w:r>
          </w:p>
        </w:tc>
      </w:tr>
    </w:tbl>
    <w:p w14:paraId="47F85A24" w14:textId="77777777" w:rsidR="00DD751D" w:rsidRDefault="00000000">
      <w:pPr>
        <w:tabs>
          <w:tab w:val="left" w:pos="360"/>
        </w:tabs>
        <w:jc w:val="both"/>
        <w:rPr>
          <w:rFonts w:ascii="Arial" w:hAnsi="Arial" w:cs="Arial"/>
          <w:bCs/>
          <w:sz w:val="18"/>
          <w:szCs w:val="18"/>
        </w:rPr>
      </w:pPr>
      <w:r>
        <w:object w:dxaOrig="4198" w:dyaOrig="2939" w14:anchorId="737C86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9.9pt;height:146.95pt" o:ole="">
            <v:imagedata r:id="rId8" o:title=""/>
          </v:shape>
          <o:OLEObject Type="Embed" ProgID="CorelDraw.Graphic.23" ShapeID="_x0000_i1025" DrawAspect="Content" ObjectID="_1789647820" r:id="rId9"/>
        </w:object>
      </w:r>
    </w:p>
    <w:p w14:paraId="1DA70167" w14:textId="77777777" w:rsidR="00DD751D" w:rsidRDefault="00DD751D">
      <w:pPr>
        <w:tabs>
          <w:tab w:val="left" w:pos="360"/>
        </w:tabs>
        <w:jc w:val="both"/>
        <w:rPr>
          <w:rFonts w:ascii="Arial" w:hAnsi="Arial" w:cs="Arial"/>
          <w:bCs/>
          <w:sz w:val="18"/>
          <w:szCs w:val="18"/>
        </w:rPr>
      </w:pPr>
    </w:p>
    <w:p w14:paraId="2AED9C98" w14:textId="77777777" w:rsidR="00DD751D" w:rsidRDefault="00DD751D">
      <w:pPr>
        <w:tabs>
          <w:tab w:val="left" w:pos="360"/>
        </w:tabs>
        <w:jc w:val="both"/>
        <w:rPr>
          <w:rFonts w:ascii="Arial" w:hAnsi="Arial" w:cs="Arial"/>
          <w:bCs/>
          <w:sz w:val="18"/>
          <w:szCs w:val="18"/>
        </w:rPr>
      </w:pPr>
    </w:p>
    <w:p w14:paraId="789D3454" w14:textId="77777777" w:rsidR="00DD751D" w:rsidRDefault="00000000">
      <w:pPr>
        <w:tabs>
          <w:tab w:val="left" w:pos="360"/>
        </w:tabs>
        <w:jc w:val="both"/>
        <w:rPr>
          <w:rFonts w:ascii="Arial" w:hAnsi="Arial" w:cs="Arial"/>
          <w:bCs/>
          <w:sz w:val="18"/>
          <w:szCs w:val="18"/>
        </w:rPr>
      </w:pPr>
      <w:r>
        <w:rPr>
          <w:rFonts w:ascii="Arial" w:hAnsi="Arial" w:cs="Arial"/>
          <w:bCs/>
          <w:sz w:val="18"/>
          <w:szCs w:val="18"/>
        </w:rPr>
        <w:t xml:space="preserve">This standard curve is for the purpose of illustration </w:t>
      </w:r>
      <w:proofErr w:type="gramStart"/>
      <w:r>
        <w:rPr>
          <w:rFonts w:ascii="Arial" w:hAnsi="Arial" w:cs="Arial"/>
          <w:bCs/>
          <w:sz w:val="18"/>
          <w:szCs w:val="18"/>
        </w:rPr>
        <w:t>only, and</w:t>
      </w:r>
      <w:proofErr w:type="gramEnd"/>
      <w:r>
        <w:rPr>
          <w:rFonts w:ascii="Arial" w:hAnsi="Arial" w:cs="Arial"/>
          <w:bCs/>
          <w:sz w:val="18"/>
          <w:szCs w:val="18"/>
        </w:rPr>
        <w:t xml:space="preserve"> should not be used to calculate samples. Each user should obtain his or her own standard curve and data. </w:t>
      </w:r>
    </w:p>
    <w:p w14:paraId="178498D2" w14:textId="77777777" w:rsidR="00CB4D77" w:rsidRDefault="00CB4D77">
      <w:pPr>
        <w:tabs>
          <w:tab w:val="left" w:pos="360"/>
        </w:tabs>
        <w:jc w:val="both"/>
        <w:rPr>
          <w:rFonts w:ascii="Arial" w:hAnsi="Arial" w:cs="Arial"/>
          <w:bCs/>
          <w:sz w:val="18"/>
          <w:szCs w:val="18"/>
        </w:rPr>
      </w:pPr>
    </w:p>
    <w:p w14:paraId="41ED74CC" w14:textId="77777777" w:rsidR="00DD751D" w:rsidRDefault="00DD751D">
      <w:pPr>
        <w:tabs>
          <w:tab w:val="left" w:pos="360"/>
        </w:tabs>
        <w:jc w:val="both"/>
        <w:rPr>
          <w:rFonts w:ascii="Arial" w:hAnsi="Arial" w:cs="Arial"/>
          <w:bCs/>
          <w:sz w:val="18"/>
          <w:szCs w:val="18"/>
        </w:rPr>
      </w:pPr>
    </w:p>
    <w:p w14:paraId="4DA6A0BB" w14:textId="77777777" w:rsidR="00DD751D" w:rsidRDefault="00000000">
      <w:pPr>
        <w:tabs>
          <w:tab w:val="left" w:pos="360"/>
        </w:tabs>
        <w:jc w:val="both"/>
        <w:rPr>
          <w:rFonts w:ascii="Arial" w:hAnsi="Arial" w:cs="Arial"/>
          <w:bCs/>
          <w:sz w:val="18"/>
          <w:szCs w:val="18"/>
        </w:rPr>
      </w:pPr>
      <w:r>
        <w:rPr>
          <w:rFonts w:ascii="Arial" w:hAnsi="Arial" w:cs="Arial"/>
          <w:bCs/>
          <w:sz w:val="18"/>
          <w:szCs w:val="18"/>
        </w:rPr>
        <w:t>Expected Ranges of values</w:t>
      </w:r>
    </w:p>
    <w:p w14:paraId="0C7111FC" w14:textId="77777777" w:rsidR="00DD751D" w:rsidRDefault="00000000">
      <w:pPr>
        <w:tabs>
          <w:tab w:val="left" w:pos="360"/>
        </w:tabs>
        <w:jc w:val="both"/>
        <w:rPr>
          <w:rFonts w:ascii="Arial" w:hAnsi="Arial" w:cs="Arial"/>
          <w:bCs/>
          <w:sz w:val="18"/>
          <w:szCs w:val="18"/>
        </w:rPr>
      </w:pPr>
      <w:r>
        <w:rPr>
          <w:rFonts w:ascii="Arial" w:hAnsi="Arial" w:cs="Arial"/>
          <w:bCs/>
          <w:sz w:val="18"/>
          <w:szCs w:val="18"/>
        </w:rPr>
        <w:t xml:space="preserve">Each laboratory must establish its own normal ranges based on patient population. Based on our internal evaluation data the following normal range is recommended: </w:t>
      </w:r>
    </w:p>
    <w:p w14:paraId="68CBA12C" w14:textId="77777777" w:rsidR="00DD751D" w:rsidRDefault="00000000">
      <w:pPr>
        <w:tabs>
          <w:tab w:val="left" w:pos="360"/>
        </w:tabs>
        <w:jc w:val="both"/>
        <w:rPr>
          <w:rFonts w:ascii="Arial" w:hAnsi="Arial" w:cs="Arial"/>
          <w:bCs/>
          <w:sz w:val="18"/>
          <w:szCs w:val="18"/>
        </w:rPr>
      </w:pPr>
      <w:r>
        <w:rPr>
          <w:rFonts w:ascii="Arial" w:hAnsi="Arial" w:cs="Arial"/>
          <w:bCs/>
          <w:sz w:val="18"/>
          <w:szCs w:val="18"/>
        </w:rPr>
        <w:t xml:space="preserve">Adults: &lt; 300 IU/ml </w:t>
      </w:r>
    </w:p>
    <w:p w14:paraId="66F310C4" w14:textId="77777777" w:rsidR="00DD751D" w:rsidRDefault="00000000">
      <w:pPr>
        <w:tabs>
          <w:tab w:val="left" w:pos="360"/>
        </w:tabs>
        <w:jc w:val="both"/>
        <w:rPr>
          <w:rFonts w:ascii="Arial" w:hAnsi="Arial" w:cs="Arial"/>
          <w:bCs/>
          <w:sz w:val="18"/>
          <w:szCs w:val="18"/>
        </w:rPr>
      </w:pPr>
      <w:r>
        <w:rPr>
          <w:rFonts w:ascii="Arial" w:hAnsi="Arial" w:cs="Arial"/>
          <w:bCs/>
          <w:sz w:val="18"/>
          <w:szCs w:val="18"/>
        </w:rPr>
        <w:t xml:space="preserve">The minimal detectable concentration of </w:t>
      </w:r>
      <w:proofErr w:type="spellStart"/>
      <w:r>
        <w:rPr>
          <w:rFonts w:ascii="Arial" w:hAnsi="Arial" w:cs="Arial"/>
          <w:bCs/>
          <w:sz w:val="18"/>
          <w:szCs w:val="18"/>
        </w:rPr>
        <w:t>IgE</w:t>
      </w:r>
      <w:proofErr w:type="spellEnd"/>
      <w:r>
        <w:rPr>
          <w:rFonts w:ascii="Arial" w:hAnsi="Arial" w:cs="Arial"/>
          <w:bCs/>
          <w:sz w:val="18"/>
          <w:szCs w:val="18"/>
        </w:rPr>
        <w:t xml:space="preserve"> by this assay is estimated to be 5 IU/ml. </w:t>
      </w:r>
    </w:p>
    <w:p w14:paraId="15D70BBE" w14:textId="77777777" w:rsidR="00DD751D" w:rsidRDefault="00DD751D">
      <w:pPr>
        <w:tabs>
          <w:tab w:val="left" w:pos="360"/>
        </w:tabs>
        <w:jc w:val="both"/>
        <w:rPr>
          <w:rFonts w:ascii="Arial" w:hAnsi="Arial" w:cs="Arial"/>
          <w:bCs/>
          <w:sz w:val="18"/>
          <w:szCs w:val="18"/>
        </w:rPr>
      </w:pPr>
    </w:p>
    <w:p w14:paraId="75EA3802" w14:textId="77777777" w:rsidR="00DD751D" w:rsidRDefault="00000000">
      <w:pPr>
        <w:tabs>
          <w:tab w:val="left" w:pos="360"/>
        </w:tabs>
        <w:jc w:val="both"/>
        <w:rPr>
          <w:rFonts w:ascii="Arial" w:hAnsi="Arial" w:cs="Arial"/>
          <w:bCs/>
          <w:sz w:val="18"/>
          <w:szCs w:val="18"/>
        </w:rPr>
      </w:pPr>
      <w:r>
        <w:rPr>
          <w:rFonts w:ascii="Arial" w:hAnsi="Arial" w:cs="Arial"/>
          <w:bCs/>
          <w:sz w:val="18"/>
          <w:szCs w:val="18"/>
        </w:rPr>
        <w:t>PERFORMANCE CHARACTERISTICS</w:t>
      </w:r>
    </w:p>
    <w:p w14:paraId="3573A993" w14:textId="77777777" w:rsidR="00DD751D" w:rsidRDefault="00000000">
      <w:pPr>
        <w:tabs>
          <w:tab w:val="left" w:pos="360"/>
        </w:tabs>
        <w:jc w:val="both"/>
        <w:rPr>
          <w:rFonts w:ascii="Arial" w:hAnsi="Arial" w:cs="Arial"/>
          <w:bCs/>
          <w:sz w:val="18"/>
          <w:szCs w:val="18"/>
        </w:rPr>
      </w:pPr>
      <w:r>
        <w:rPr>
          <w:rFonts w:ascii="Arial" w:hAnsi="Arial" w:cs="Arial"/>
          <w:bCs/>
          <w:sz w:val="18"/>
          <w:szCs w:val="18"/>
        </w:rPr>
        <w:t xml:space="preserve"> A) Internal Evaluation: </w:t>
      </w:r>
    </w:p>
    <w:p w14:paraId="313D4831" w14:textId="77777777" w:rsidR="00DD751D" w:rsidRDefault="00000000">
      <w:pPr>
        <w:pStyle w:val="ListParagraph"/>
        <w:numPr>
          <w:ilvl w:val="0"/>
          <w:numId w:val="8"/>
        </w:numPr>
        <w:tabs>
          <w:tab w:val="left" w:pos="360"/>
        </w:tabs>
        <w:jc w:val="both"/>
        <w:rPr>
          <w:rFonts w:ascii="Arial" w:hAnsi="Arial" w:cs="Arial"/>
          <w:bCs/>
          <w:sz w:val="18"/>
          <w:szCs w:val="18"/>
        </w:rPr>
      </w:pPr>
      <w:r>
        <w:rPr>
          <w:rFonts w:ascii="Arial" w:hAnsi="Arial" w:cs="Arial"/>
          <w:bCs/>
          <w:sz w:val="18"/>
          <w:szCs w:val="18"/>
        </w:rPr>
        <w:t xml:space="preserve">Accuracy: In an internal Study </w:t>
      </w:r>
      <w:proofErr w:type="spellStart"/>
      <w:r>
        <w:rPr>
          <w:rFonts w:ascii="Arial" w:hAnsi="Arial" w:cs="Arial"/>
          <w:bCs/>
          <w:sz w:val="18"/>
          <w:szCs w:val="18"/>
        </w:rPr>
        <w:t>IgE</w:t>
      </w:r>
      <w:proofErr w:type="spellEnd"/>
      <w:r>
        <w:rPr>
          <w:rFonts w:ascii="Arial" w:hAnsi="Arial" w:cs="Arial"/>
          <w:bCs/>
          <w:sz w:val="18"/>
          <w:szCs w:val="18"/>
        </w:rPr>
        <w:t xml:space="preserve"> was evaluated against commercially available licensed kit with 90 random clinical samples and </w:t>
      </w:r>
      <w:proofErr w:type="spellStart"/>
      <w:r>
        <w:rPr>
          <w:rFonts w:ascii="Arial" w:hAnsi="Arial" w:cs="Arial"/>
          <w:bCs/>
          <w:sz w:val="18"/>
          <w:szCs w:val="18"/>
        </w:rPr>
        <w:t>IgE</w:t>
      </w:r>
      <w:proofErr w:type="spellEnd"/>
      <w:r>
        <w:rPr>
          <w:rFonts w:ascii="Arial" w:hAnsi="Arial" w:cs="Arial"/>
          <w:bCs/>
          <w:sz w:val="18"/>
          <w:szCs w:val="18"/>
        </w:rPr>
        <w:t xml:space="preserve"> has demonstrated 95% clinical correlation with the commercially available licensed kit.</w:t>
      </w:r>
    </w:p>
    <w:p w14:paraId="170746D6" w14:textId="77777777" w:rsidR="00DD751D" w:rsidRDefault="00000000">
      <w:pPr>
        <w:pStyle w:val="ListParagraph"/>
        <w:numPr>
          <w:ilvl w:val="0"/>
          <w:numId w:val="8"/>
        </w:numPr>
        <w:tabs>
          <w:tab w:val="left" w:pos="360"/>
        </w:tabs>
        <w:jc w:val="both"/>
        <w:rPr>
          <w:rFonts w:ascii="Arial" w:hAnsi="Arial" w:cs="Arial"/>
          <w:bCs/>
          <w:sz w:val="18"/>
          <w:szCs w:val="18"/>
        </w:rPr>
      </w:pPr>
      <w:r>
        <w:rPr>
          <w:rFonts w:ascii="Arial" w:hAnsi="Arial" w:cs="Arial"/>
          <w:bCs/>
          <w:sz w:val="18"/>
          <w:szCs w:val="18"/>
        </w:rPr>
        <w:t xml:space="preserve">Precision: </w:t>
      </w:r>
      <w:proofErr w:type="spellStart"/>
      <w:r>
        <w:rPr>
          <w:rFonts w:ascii="Arial" w:hAnsi="Arial" w:cs="Arial"/>
          <w:bCs/>
          <w:sz w:val="18"/>
          <w:szCs w:val="18"/>
        </w:rPr>
        <w:t>IgE</w:t>
      </w:r>
      <w:proofErr w:type="spellEnd"/>
      <w:r>
        <w:rPr>
          <w:rFonts w:ascii="Arial" w:hAnsi="Arial" w:cs="Arial"/>
          <w:bCs/>
          <w:sz w:val="18"/>
          <w:szCs w:val="18"/>
        </w:rPr>
        <w:t xml:space="preserve"> was evaluated with licensed external Quality controls for Precision Studies &amp; following is the data:</w:t>
      </w:r>
    </w:p>
    <w:p w14:paraId="0D353AB7" w14:textId="77777777" w:rsidR="00DD751D" w:rsidRDefault="00DD751D">
      <w:pPr>
        <w:tabs>
          <w:tab w:val="left" w:pos="360"/>
        </w:tabs>
        <w:jc w:val="both"/>
        <w:rPr>
          <w:rFonts w:ascii="Arial" w:hAnsi="Arial" w:cs="Arial"/>
          <w:bCs/>
          <w:sz w:val="18"/>
          <w:szCs w:val="18"/>
        </w:rPr>
      </w:pPr>
    </w:p>
    <w:p w14:paraId="4E1A3015" w14:textId="77777777" w:rsidR="00DD751D" w:rsidRDefault="00DD751D">
      <w:pPr>
        <w:tabs>
          <w:tab w:val="left" w:pos="360"/>
        </w:tabs>
        <w:ind w:left="765"/>
        <w:jc w:val="both"/>
        <w:rPr>
          <w:rFonts w:ascii="Arial" w:hAnsi="Arial" w:cs="Arial"/>
          <w:bCs/>
          <w:sz w:val="18"/>
          <w:szCs w:val="18"/>
        </w:rPr>
      </w:pPr>
    </w:p>
    <w:tbl>
      <w:tblPr>
        <w:tblStyle w:val="TableGrid"/>
        <w:tblW w:w="4177" w:type="dxa"/>
        <w:tblInd w:w="178" w:type="dxa"/>
        <w:tblLayout w:type="fixed"/>
        <w:tblLook w:val="04A0" w:firstRow="1" w:lastRow="0" w:firstColumn="1" w:lastColumn="0" w:noHBand="0" w:noVBand="1"/>
      </w:tblPr>
      <w:tblGrid>
        <w:gridCol w:w="957"/>
        <w:gridCol w:w="866"/>
        <w:gridCol w:w="1038"/>
        <w:gridCol w:w="1316"/>
      </w:tblGrid>
      <w:tr w:rsidR="00DD751D" w14:paraId="403B3563" w14:textId="77777777">
        <w:tc>
          <w:tcPr>
            <w:tcW w:w="957" w:type="dxa"/>
          </w:tcPr>
          <w:p w14:paraId="5DB378E8" w14:textId="77777777" w:rsidR="00DD751D" w:rsidRDefault="00000000">
            <w:pPr>
              <w:tabs>
                <w:tab w:val="left" w:pos="360"/>
              </w:tabs>
              <w:jc w:val="both"/>
              <w:rPr>
                <w:rFonts w:ascii="Arial" w:hAnsi="Arial" w:cs="Arial"/>
                <w:bCs/>
                <w:sz w:val="18"/>
                <w:szCs w:val="18"/>
              </w:rPr>
            </w:pPr>
            <w:r>
              <w:rPr>
                <w:rFonts w:ascii="Arial" w:hAnsi="Arial" w:cs="Arial"/>
                <w:bCs/>
                <w:sz w:val="18"/>
                <w:szCs w:val="18"/>
              </w:rPr>
              <w:t>Controls</w:t>
            </w:r>
          </w:p>
        </w:tc>
        <w:tc>
          <w:tcPr>
            <w:tcW w:w="866" w:type="dxa"/>
          </w:tcPr>
          <w:p w14:paraId="49324FF8" w14:textId="77777777" w:rsidR="00DD751D" w:rsidRDefault="00000000">
            <w:pPr>
              <w:tabs>
                <w:tab w:val="left" w:pos="360"/>
              </w:tabs>
              <w:jc w:val="both"/>
              <w:rPr>
                <w:rFonts w:ascii="Arial" w:hAnsi="Arial" w:cs="Arial"/>
                <w:bCs/>
                <w:sz w:val="18"/>
                <w:szCs w:val="18"/>
              </w:rPr>
            </w:pPr>
            <w:r>
              <w:rPr>
                <w:rFonts w:ascii="Arial" w:hAnsi="Arial" w:cs="Arial"/>
                <w:bCs/>
                <w:sz w:val="18"/>
                <w:szCs w:val="18"/>
              </w:rPr>
              <w:t xml:space="preserve">No. of </w:t>
            </w:r>
            <w:proofErr w:type="spellStart"/>
            <w:r>
              <w:rPr>
                <w:rFonts w:ascii="Arial" w:hAnsi="Arial" w:cs="Arial"/>
                <w:bCs/>
                <w:sz w:val="18"/>
                <w:szCs w:val="18"/>
              </w:rPr>
              <w:t>testings</w:t>
            </w:r>
            <w:proofErr w:type="spellEnd"/>
          </w:p>
        </w:tc>
        <w:tc>
          <w:tcPr>
            <w:tcW w:w="1038" w:type="dxa"/>
          </w:tcPr>
          <w:p w14:paraId="2A32C851" w14:textId="77777777" w:rsidR="00DD751D" w:rsidRDefault="00000000">
            <w:pPr>
              <w:tabs>
                <w:tab w:val="left" w:pos="360"/>
              </w:tabs>
              <w:jc w:val="both"/>
              <w:rPr>
                <w:rFonts w:ascii="Arial" w:hAnsi="Arial" w:cs="Arial"/>
                <w:bCs/>
                <w:sz w:val="18"/>
                <w:szCs w:val="18"/>
              </w:rPr>
            </w:pPr>
            <w:r>
              <w:rPr>
                <w:rFonts w:ascii="Arial" w:hAnsi="Arial" w:cs="Arial"/>
                <w:bCs/>
                <w:sz w:val="18"/>
                <w:szCs w:val="18"/>
              </w:rPr>
              <w:t xml:space="preserve">Mean Control values with </w:t>
            </w:r>
            <w:proofErr w:type="spellStart"/>
            <w:r>
              <w:rPr>
                <w:rFonts w:ascii="Arial" w:hAnsi="Arial" w:cs="Arial"/>
                <w:b/>
                <w:sz w:val="18"/>
                <w:szCs w:val="18"/>
              </w:rPr>
              <w:t>IgE</w:t>
            </w:r>
            <w:proofErr w:type="spellEnd"/>
          </w:p>
        </w:tc>
        <w:tc>
          <w:tcPr>
            <w:tcW w:w="1316" w:type="dxa"/>
          </w:tcPr>
          <w:p w14:paraId="793BA27D" w14:textId="77777777" w:rsidR="00DD751D" w:rsidRDefault="00000000">
            <w:pPr>
              <w:tabs>
                <w:tab w:val="left" w:pos="360"/>
              </w:tabs>
              <w:rPr>
                <w:rFonts w:ascii="Arial" w:hAnsi="Arial" w:cs="Arial"/>
                <w:bCs/>
                <w:sz w:val="18"/>
                <w:szCs w:val="18"/>
              </w:rPr>
            </w:pPr>
            <w:r>
              <w:rPr>
                <w:rFonts w:ascii="Arial" w:hAnsi="Arial" w:cs="Arial"/>
                <w:bCs/>
                <w:sz w:val="18"/>
                <w:szCs w:val="18"/>
              </w:rPr>
              <w:t>Coefficient of Variation</w:t>
            </w:r>
            <w:r>
              <w:rPr>
                <w:rFonts w:ascii="Arial" w:hAnsi="Arial" w:cs="Arial"/>
                <w:bCs/>
                <w:sz w:val="18"/>
                <w:szCs w:val="18"/>
              </w:rPr>
              <w:tab/>
              <w:t xml:space="preserve"> (CV)</w:t>
            </w:r>
          </w:p>
          <w:p w14:paraId="7FD59828" w14:textId="77777777" w:rsidR="00DD751D" w:rsidRDefault="00DD751D">
            <w:pPr>
              <w:tabs>
                <w:tab w:val="left" w:pos="360"/>
              </w:tabs>
              <w:jc w:val="center"/>
              <w:rPr>
                <w:rFonts w:ascii="Arial" w:hAnsi="Arial" w:cs="Arial"/>
                <w:bCs/>
                <w:sz w:val="18"/>
                <w:szCs w:val="18"/>
              </w:rPr>
            </w:pPr>
          </w:p>
        </w:tc>
      </w:tr>
      <w:tr w:rsidR="00DD751D" w14:paraId="2F97D441" w14:textId="77777777">
        <w:trPr>
          <w:trHeight w:val="196"/>
        </w:trPr>
        <w:tc>
          <w:tcPr>
            <w:tcW w:w="957" w:type="dxa"/>
          </w:tcPr>
          <w:p w14:paraId="3A7BDE5F" w14:textId="77777777" w:rsidR="00DD751D" w:rsidRDefault="00000000">
            <w:pPr>
              <w:tabs>
                <w:tab w:val="left" w:pos="360"/>
              </w:tabs>
              <w:jc w:val="both"/>
              <w:rPr>
                <w:rFonts w:ascii="Arial" w:hAnsi="Arial" w:cs="Arial"/>
                <w:bCs/>
                <w:sz w:val="18"/>
                <w:szCs w:val="18"/>
              </w:rPr>
            </w:pPr>
            <w:proofErr w:type="gramStart"/>
            <w:r>
              <w:rPr>
                <w:rFonts w:ascii="Arial" w:hAnsi="Arial" w:cs="Arial"/>
                <w:bCs/>
                <w:sz w:val="18"/>
                <w:szCs w:val="18"/>
              </w:rPr>
              <w:t>Level  1</w:t>
            </w:r>
            <w:proofErr w:type="gramEnd"/>
            <w:r>
              <w:rPr>
                <w:rFonts w:ascii="Arial" w:hAnsi="Arial" w:cs="Arial"/>
                <w:bCs/>
                <w:sz w:val="18"/>
                <w:szCs w:val="18"/>
              </w:rPr>
              <w:t xml:space="preserve"> </w:t>
            </w:r>
          </w:p>
        </w:tc>
        <w:tc>
          <w:tcPr>
            <w:tcW w:w="866" w:type="dxa"/>
          </w:tcPr>
          <w:p w14:paraId="3D0EC053" w14:textId="77777777" w:rsidR="00DD751D" w:rsidRDefault="00000000">
            <w:pPr>
              <w:tabs>
                <w:tab w:val="left" w:pos="360"/>
              </w:tabs>
              <w:jc w:val="both"/>
              <w:rPr>
                <w:rFonts w:ascii="Arial" w:hAnsi="Arial" w:cs="Arial"/>
                <w:bCs/>
                <w:sz w:val="18"/>
                <w:szCs w:val="18"/>
              </w:rPr>
            </w:pPr>
            <w:r>
              <w:rPr>
                <w:rFonts w:ascii="Arial" w:hAnsi="Arial" w:cs="Arial"/>
                <w:bCs/>
                <w:sz w:val="18"/>
                <w:szCs w:val="18"/>
              </w:rPr>
              <w:t>10</w:t>
            </w:r>
          </w:p>
        </w:tc>
        <w:tc>
          <w:tcPr>
            <w:tcW w:w="1038" w:type="dxa"/>
          </w:tcPr>
          <w:p w14:paraId="79F4F382" w14:textId="77777777" w:rsidR="00DD751D" w:rsidRDefault="00000000">
            <w:pPr>
              <w:tabs>
                <w:tab w:val="left" w:pos="360"/>
              </w:tabs>
              <w:jc w:val="both"/>
              <w:rPr>
                <w:rFonts w:ascii="Arial" w:hAnsi="Arial" w:cs="Arial"/>
                <w:bCs/>
                <w:sz w:val="18"/>
                <w:szCs w:val="18"/>
              </w:rPr>
            </w:pPr>
            <w:r>
              <w:rPr>
                <w:rFonts w:ascii="Arial" w:hAnsi="Arial" w:cs="Arial"/>
                <w:bCs/>
                <w:sz w:val="18"/>
                <w:szCs w:val="18"/>
              </w:rPr>
              <w:t>275.35</w:t>
            </w:r>
          </w:p>
        </w:tc>
        <w:tc>
          <w:tcPr>
            <w:tcW w:w="1316" w:type="dxa"/>
          </w:tcPr>
          <w:p w14:paraId="452ECDBE" w14:textId="77777777" w:rsidR="00DD751D" w:rsidRDefault="00000000">
            <w:pPr>
              <w:tabs>
                <w:tab w:val="left" w:pos="360"/>
              </w:tabs>
              <w:jc w:val="center"/>
              <w:rPr>
                <w:rFonts w:ascii="Arial" w:hAnsi="Arial" w:cs="Arial"/>
                <w:bCs/>
                <w:sz w:val="18"/>
                <w:szCs w:val="18"/>
              </w:rPr>
            </w:pPr>
            <w:r>
              <w:rPr>
                <w:rFonts w:ascii="Arial" w:hAnsi="Arial" w:cs="Arial"/>
                <w:bCs/>
                <w:sz w:val="18"/>
                <w:szCs w:val="18"/>
              </w:rPr>
              <w:t>5.25</w:t>
            </w:r>
          </w:p>
        </w:tc>
      </w:tr>
      <w:tr w:rsidR="00DD751D" w14:paraId="2ED68BE3" w14:textId="77777777">
        <w:trPr>
          <w:trHeight w:val="182"/>
        </w:trPr>
        <w:tc>
          <w:tcPr>
            <w:tcW w:w="957" w:type="dxa"/>
          </w:tcPr>
          <w:p w14:paraId="6EB6A078" w14:textId="77777777" w:rsidR="00DD751D" w:rsidRDefault="00000000">
            <w:pPr>
              <w:tabs>
                <w:tab w:val="left" w:pos="360"/>
              </w:tabs>
              <w:jc w:val="both"/>
              <w:rPr>
                <w:rFonts w:ascii="Arial" w:hAnsi="Arial" w:cs="Arial"/>
                <w:bCs/>
                <w:sz w:val="18"/>
                <w:szCs w:val="18"/>
              </w:rPr>
            </w:pPr>
            <w:proofErr w:type="gramStart"/>
            <w:r>
              <w:rPr>
                <w:rFonts w:ascii="Arial" w:hAnsi="Arial" w:cs="Arial"/>
                <w:bCs/>
                <w:sz w:val="18"/>
                <w:szCs w:val="18"/>
              </w:rPr>
              <w:t>Level  2</w:t>
            </w:r>
            <w:proofErr w:type="gramEnd"/>
          </w:p>
        </w:tc>
        <w:tc>
          <w:tcPr>
            <w:tcW w:w="866" w:type="dxa"/>
          </w:tcPr>
          <w:p w14:paraId="6F371A25" w14:textId="77777777" w:rsidR="00DD751D" w:rsidRDefault="00000000">
            <w:pPr>
              <w:tabs>
                <w:tab w:val="left" w:pos="360"/>
              </w:tabs>
              <w:jc w:val="both"/>
              <w:rPr>
                <w:rFonts w:ascii="Arial" w:hAnsi="Arial" w:cs="Arial"/>
                <w:bCs/>
                <w:sz w:val="18"/>
                <w:szCs w:val="18"/>
              </w:rPr>
            </w:pPr>
            <w:r>
              <w:rPr>
                <w:rFonts w:ascii="Arial" w:hAnsi="Arial" w:cs="Arial"/>
                <w:bCs/>
                <w:sz w:val="18"/>
                <w:szCs w:val="18"/>
              </w:rPr>
              <w:t>10</w:t>
            </w:r>
          </w:p>
        </w:tc>
        <w:tc>
          <w:tcPr>
            <w:tcW w:w="1038" w:type="dxa"/>
          </w:tcPr>
          <w:p w14:paraId="2FF2F5B4" w14:textId="77777777" w:rsidR="00DD751D" w:rsidRDefault="00000000">
            <w:pPr>
              <w:tabs>
                <w:tab w:val="left" w:pos="360"/>
              </w:tabs>
              <w:jc w:val="both"/>
              <w:rPr>
                <w:rFonts w:ascii="Arial" w:hAnsi="Arial" w:cs="Arial"/>
                <w:bCs/>
                <w:sz w:val="18"/>
                <w:szCs w:val="18"/>
              </w:rPr>
            </w:pPr>
            <w:r>
              <w:rPr>
                <w:rFonts w:ascii="Arial" w:hAnsi="Arial" w:cs="Arial"/>
                <w:bCs/>
                <w:sz w:val="18"/>
                <w:szCs w:val="18"/>
              </w:rPr>
              <w:t>110.29</w:t>
            </w:r>
          </w:p>
        </w:tc>
        <w:tc>
          <w:tcPr>
            <w:tcW w:w="1316" w:type="dxa"/>
          </w:tcPr>
          <w:p w14:paraId="16C8C266" w14:textId="77777777" w:rsidR="00DD751D" w:rsidRDefault="00000000">
            <w:pPr>
              <w:tabs>
                <w:tab w:val="left" w:pos="360"/>
              </w:tabs>
              <w:jc w:val="center"/>
              <w:rPr>
                <w:rFonts w:ascii="Arial" w:hAnsi="Arial" w:cs="Arial"/>
                <w:bCs/>
                <w:sz w:val="18"/>
                <w:szCs w:val="18"/>
              </w:rPr>
            </w:pPr>
            <w:r>
              <w:rPr>
                <w:rFonts w:ascii="Arial" w:hAnsi="Arial" w:cs="Arial"/>
                <w:bCs/>
                <w:sz w:val="18"/>
                <w:szCs w:val="18"/>
              </w:rPr>
              <w:t>5.18</w:t>
            </w:r>
          </w:p>
        </w:tc>
      </w:tr>
      <w:tr w:rsidR="00DD751D" w14:paraId="47C8E107" w14:textId="77777777">
        <w:trPr>
          <w:trHeight w:val="196"/>
        </w:trPr>
        <w:tc>
          <w:tcPr>
            <w:tcW w:w="957" w:type="dxa"/>
          </w:tcPr>
          <w:p w14:paraId="77C14C38" w14:textId="77777777" w:rsidR="00DD751D" w:rsidRDefault="00000000">
            <w:pPr>
              <w:tabs>
                <w:tab w:val="left" w:pos="360"/>
              </w:tabs>
              <w:jc w:val="both"/>
              <w:rPr>
                <w:rFonts w:ascii="Arial" w:hAnsi="Arial" w:cs="Arial"/>
                <w:bCs/>
                <w:sz w:val="18"/>
                <w:szCs w:val="18"/>
              </w:rPr>
            </w:pPr>
            <w:proofErr w:type="gramStart"/>
            <w:r>
              <w:rPr>
                <w:rFonts w:ascii="Arial" w:hAnsi="Arial" w:cs="Arial"/>
                <w:bCs/>
                <w:sz w:val="18"/>
                <w:szCs w:val="18"/>
              </w:rPr>
              <w:t>Level  3</w:t>
            </w:r>
            <w:proofErr w:type="gramEnd"/>
          </w:p>
        </w:tc>
        <w:tc>
          <w:tcPr>
            <w:tcW w:w="866" w:type="dxa"/>
          </w:tcPr>
          <w:p w14:paraId="4D95E87E" w14:textId="77777777" w:rsidR="00DD751D" w:rsidRDefault="00000000">
            <w:pPr>
              <w:tabs>
                <w:tab w:val="left" w:pos="360"/>
              </w:tabs>
              <w:jc w:val="both"/>
              <w:rPr>
                <w:rFonts w:ascii="Arial" w:hAnsi="Arial" w:cs="Arial"/>
                <w:bCs/>
                <w:sz w:val="18"/>
                <w:szCs w:val="18"/>
              </w:rPr>
            </w:pPr>
            <w:r>
              <w:rPr>
                <w:rFonts w:ascii="Arial" w:hAnsi="Arial" w:cs="Arial"/>
                <w:bCs/>
                <w:sz w:val="18"/>
                <w:szCs w:val="18"/>
              </w:rPr>
              <w:t>10</w:t>
            </w:r>
          </w:p>
        </w:tc>
        <w:tc>
          <w:tcPr>
            <w:tcW w:w="1038" w:type="dxa"/>
          </w:tcPr>
          <w:p w14:paraId="0B051633" w14:textId="77777777" w:rsidR="00DD751D" w:rsidRDefault="00000000">
            <w:pPr>
              <w:tabs>
                <w:tab w:val="left" w:pos="360"/>
              </w:tabs>
              <w:jc w:val="both"/>
              <w:rPr>
                <w:rFonts w:ascii="Arial" w:hAnsi="Arial" w:cs="Arial"/>
                <w:bCs/>
                <w:sz w:val="18"/>
                <w:szCs w:val="18"/>
              </w:rPr>
            </w:pPr>
            <w:r>
              <w:rPr>
                <w:rFonts w:ascii="Arial" w:hAnsi="Arial" w:cs="Arial"/>
                <w:bCs/>
                <w:sz w:val="18"/>
                <w:szCs w:val="18"/>
              </w:rPr>
              <w:t>138.79</w:t>
            </w:r>
          </w:p>
        </w:tc>
        <w:tc>
          <w:tcPr>
            <w:tcW w:w="1316" w:type="dxa"/>
          </w:tcPr>
          <w:p w14:paraId="5D314FA2" w14:textId="77777777" w:rsidR="00DD751D" w:rsidRDefault="00000000">
            <w:pPr>
              <w:tabs>
                <w:tab w:val="left" w:pos="360"/>
              </w:tabs>
              <w:jc w:val="center"/>
              <w:rPr>
                <w:rFonts w:ascii="Arial" w:hAnsi="Arial" w:cs="Arial"/>
                <w:bCs/>
                <w:sz w:val="18"/>
                <w:szCs w:val="18"/>
              </w:rPr>
            </w:pPr>
            <w:r>
              <w:rPr>
                <w:rFonts w:ascii="Arial" w:hAnsi="Arial" w:cs="Arial"/>
                <w:bCs/>
                <w:sz w:val="18"/>
                <w:szCs w:val="18"/>
              </w:rPr>
              <w:t>5.82</w:t>
            </w:r>
          </w:p>
        </w:tc>
      </w:tr>
    </w:tbl>
    <w:p w14:paraId="006DA7F5" w14:textId="77777777" w:rsidR="00DD751D" w:rsidRDefault="00DD751D">
      <w:pPr>
        <w:tabs>
          <w:tab w:val="left" w:pos="360"/>
        </w:tabs>
        <w:ind w:left="720"/>
        <w:jc w:val="both"/>
        <w:rPr>
          <w:rFonts w:ascii="Arial" w:hAnsi="Arial" w:cs="Arial"/>
          <w:bCs/>
          <w:sz w:val="18"/>
          <w:szCs w:val="18"/>
        </w:rPr>
      </w:pPr>
    </w:p>
    <w:p w14:paraId="09D11063" w14:textId="77777777" w:rsidR="00DD751D" w:rsidRDefault="00000000">
      <w:pPr>
        <w:numPr>
          <w:ilvl w:val="0"/>
          <w:numId w:val="9"/>
        </w:numPr>
        <w:tabs>
          <w:tab w:val="left" w:pos="360"/>
        </w:tabs>
        <w:jc w:val="both"/>
        <w:rPr>
          <w:rFonts w:ascii="Arial" w:hAnsi="Arial" w:cs="Arial"/>
          <w:bCs/>
          <w:sz w:val="18"/>
          <w:szCs w:val="18"/>
        </w:rPr>
      </w:pPr>
      <w:r>
        <w:rPr>
          <w:rFonts w:ascii="Arial" w:hAnsi="Arial" w:cs="Arial"/>
          <w:bCs/>
          <w:sz w:val="18"/>
          <w:szCs w:val="18"/>
        </w:rPr>
        <w:t>External Evaluation:</w:t>
      </w:r>
    </w:p>
    <w:p w14:paraId="346E6A27" w14:textId="77777777" w:rsidR="00DD751D" w:rsidRDefault="00000000">
      <w:pPr>
        <w:tabs>
          <w:tab w:val="left" w:pos="360"/>
        </w:tabs>
        <w:ind w:leftChars="127" w:left="254"/>
        <w:jc w:val="both"/>
        <w:rPr>
          <w:rFonts w:ascii="Arial" w:hAnsi="Arial" w:cs="Arial"/>
          <w:bCs/>
          <w:sz w:val="18"/>
          <w:szCs w:val="18"/>
        </w:rPr>
      </w:pPr>
      <w:proofErr w:type="spellStart"/>
      <w:r>
        <w:rPr>
          <w:rFonts w:ascii="Arial" w:hAnsi="Arial" w:cs="Arial"/>
          <w:bCs/>
          <w:sz w:val="18"/>
          <w:szCs w:val="18"/>
        </w:rPr>
        <w:t>IgE</w:t>
      </w:r>
      <w:proofErr w:type="spellEnd"/>
      <w:r>
        <w:rPr>
          <w:rFonts w:ascii="Arial" w:hAnsi="Arial" w:cs="Arial"/>
          <w:bCs/>
          <w:sz w:val="18"/>
          <w:szCs w:val="18"/>
        </w:rPr>
        <w:t xml:space="preserve"> ELISA has been evaluated by a NABL accredited lab against their reference method. In this evaluation </w:t>
      </w:r>
      <w:proofErr w:type="spellStart"/>
      <w:r>
        <w:rPr>
          <w:rFonts w:ascii="Arial" w:hAnsi="Arial" w:cs="Arial"/>
          <w:bCs/>
          <w:sz w:val="18"/>
          <w:szCs w:val="18"/>
        </w:rPr>
        <w:t>IgE</w:t>
      </w:r>
      <w:proofErr w:type="spellEnd"/>
      <w:r>
        <w:rPr>
          <w:rFonts w:ascii="Arial" w:hAnsi="Arial" w:cs="Arial"/>
          <w:bCs/>
          <w:sz w:val="18"/>
          <w:szCs w:val="18"/>
        </w:rPr>
        <w:t xml:space="preserve"> ELISA has demonstrated 95% correlation with the reference method. </w:t>
      </w:r>
    </w:p>
    <w:p w14:paraId="0AEB2463" w14:textId="77777777" w:rsidR="00DD751D" w:rsidRDefault="00000000">
      <w:pPr>
        <w:tabs>
          <w:tab w:val="left" w:pos="360"/>
        </w:tabs>
        <w:ind w:leftChars="127" w:left="254"/>
        <w:jc w:val="both"/>
        <w:rPr>
          <w:rFonts w:ascii="Arial" w:hAnsi="Arial" w:cs="Arial"/>
          <w:bCs/>
          <w:sz w:val="18"/>
          <w:szCs w:val="18"/>
        </w:rPr>
      </w:pPr>
      <w:r>
        <w:rPr>
          <w:rFonts w:ascii="Arial" w:hAnsi="Arial" w:cs="Arial"/>
          <w:bCs/>
          <w:sz w:val="18"/>
          <w:szCs w:val="18"/>
        </w:rPr>
        <w:t xml:space="preserve">*Data file: Orchid Biomedical Systems (P) Ltd. </w:t>
      </w:r>
    </w:p>
    <w:p w14:paraId="79DFAD5C" w14:textId="77777777" w:rsidR="00DD751D" w:rsidRDefault="00DD751D">
      <w:pPr>
        <w:tabs>
          <w:tab w:val="left" w:pos="360"/>
        </w:tabs>
        <w:jc w:val="both"/>
        <w:rPr>
          <w:rFonts w:ascii="Arial" w:hAnsi="Arial" w:cs="Arial"/>
          <w:bCs/>
          <w:sz w:val="18"/>
          <w:szCs w:val="18"/>
        </w:rPr>
      </w:pPr>
    </w:p>
    <w:p w14:paraId="150A9E3E" w14:textId="77777777" w:rsidR="00DD751D" w:rsidRDefault="00000000">
      <w:pPr>
        <w:tabs>
          <w:tab w:val="left" w:pos="360"/>
        </w:tabs>
        <w:jc w:val="both"/>
        <w:rPr>
          <w:rFonts w:ascii="Arial" w:hAnsi="Arial" w:cs="Arial"/>
          <w:bCs/>
          <w:sz w:val="18"/>
          <w:szCs w:val="18"/>
        </w:rPr>
      </w:pPr>
      <w:r>
        <w:rPr>
          <w:rFonts w:ascii="Arial" w:hAnsi="Arial" w:cs="Arial"/>
          <w:bCs/>
          <w:sz w:val="18"/>
          <w:szCs w:val="18"/>
        </w:rPr>
        <w:t xml:space="preserve">IMPORTANT NOTE </w:t>
      </w:r>
    </w:p>
    <w:p w14:paraId="53657D79" w14:textId="77777777" w:rsidR="00DD751D" w:rsidRDefault="00000000">
      <w:pPr>
        <w:pStyle w:val="ListParagraph"/>
        <w:numPr>
          <w:ilvl w:val="0"/>
          <w:numId w:val="10"/>
        </w:numPr>
        <w:tabs>
          <w:tab w:val="left" w:pos="360"/>
        </w:tabs>
        <w:jc w:val="both"/>
        <w:rPr>
          <w:rFonts w:ascii="Arial" w:hAnsi="Arial" w:cs="Arial"/>
          <w:bCs/>
          <w:sz w:val="18"/>
          <w:szCs w:val="18"/>
        </w:rPr>
      </w:pPr>
      <w:r>
        <w:rPr>
          <w:rFonts w:ascii="Arial" w:hAnsi="Arial" w:cs="Arial"/>
          <w:bCs/>
          <w:sz w:val="18"/>
          <w:szCs w:val="18"/>
        </w:rPr>
        <w:t xml:space="preserve">The </w:t>
      </w:r>
      <w:proofErr w:type="spellStart"/>
      <w:r>
        <w:rPr>
          <w:rFonts w:ascii="Arial" w:hAnsi="Arial" w:cs="Arial"/>
          <w:bCs/>
          <w:sz w:val="18"/>
          <w:szCs w:val="18"/>
        </w:rPr>
        <w:t>IgE</w:t>
      </w:r>
      <w:proofErr w:type="spellEnd"/>
      <w:r>
        <w:rPr>
          <w:rFonts w:ascii="Arial" w:hAnsi="Arial" w:cs="Arial"/>
          <w:bCs/>
          <w:sz w:val="18"/>
          <w:szCs w:val="18"/>
        </w:rPr>
        <w:t xml:space="preserve"> assay is a temperature sensitive assay. The best temperature condition for this assay is from 18</w:t>
      </w:r>
      <w:r>
        <w:rPr>
          <w:rFonts w:ascii="Calibri" w:hAnsi="Calibri" w:cs="Calibri"/>
          <w:bCs/>
          <w:sz w:val="18"/>
          <w:szCs w:val="18"/>
        </w:rPr>
        <w:t>°</w:t>
      </w:r>
      <w:r>
        <w:rPr>
          <w:rFonts w:ascii="Arial" w:hAnsi="Arial" w:cs="Arial"/>
          <w:bCs/>
          <w:sz w:val="18"/>
          <w:szCs w:val="18"/>
        </w:rPr>
        <w:t xml:space="preserve"> C to 25</w:t>
      </w:r>
      <w:r>
        <w:rPr>
          <w:rFonts w:ascii="Arial" w:hAnsi="Arial" w:cs="Arial"/>
          <w:bCs/>
          <w:sz w:val="18"/>
          <w:szCs w:val="18"/>
          <w:vertAlign w:val="superscript"/>
        </w:rPr>
        <w:t>0</w:t>
      </w:r>
      <w:r>
        <w:rPr>
          <w:rFonts w:ascii="Arial" w:hAnsi="Arial" w:cs="Arial"/>
          <w:bCs/>
          <w:sz w:val="18"/>
          <w:szCs w:val="18"/>
        </w:rPr>
        <w:t xml:space="preserve"> C.</w:t>
      </w:r>
    </w:p>
    <w:p w14:paraId="778B79B3" w14:textId="77777777" w:rsidR="00DD751D" w:rsidRDefault="00000000">
      <w:pPr>
        <w:pStyle w:val="ListParagraph"/>
        <w:numPr>
          <w:ilvl w:val="0"/>
          <w:numId w:val="10"/>
        </w:numPr>
        <w:tabs>
          <w:tab w:val="left" w:pos="360"/>
        </w:tabs>
        <w:jc w:val="both"/>
        <w:rPr>
          <w:rFonts w:ascii="Arial" w:hAnsi="Arial" w:cs="Arial"/>
          <w:bCs/>
          <w:sz w:val="18"/>
          <w:szCs w:val="18"/>
        </w:rPr>
      </w:pPr>
      <w:r>
        <w:rPr>
          <w:rFonts w:ascii="Arial" w:hAnsi="Arial" w:cs="Arial"/>
          <w:bCs/>
          <w:sz w:val="18"/>
          <w:szCs w:val="18"/>
        </w:rPr>
        <w:t xml:space="preserve">The wash procedure is critical. Insufficient washing will result in poor precision and falsely elevated absorbance readings. </w:t>
      </w:r>
    </w:p>
    <w:p w14:paraId="3CC8B3B3" w14:textId="77777777" w:rsidR="00DD751D" w:rsidRDefault="00000000">
      <w:pPr>
        <w:pStyle w:val="ListParagraph"/>
        <w:numPr>
          <w:ilvl w:val="0"/>
          <w:numId w:val="10"/>
        </w:numPr>
        <w:tabs>
          <w:tab w:val="left" w:pos="360"/>
        </w:tabs>
        <w:jc w:val="both"/>
        <w:rPr>
          <w:rFonts w:ascii="Arial" w:hAnsi="Arial" w:cs="Arial"/>
          <w:bCs/>
          <w:sz w:val="18"/>
          <w:szCs w:val="18"/>
        </w:rPr>
      </w:pPr>
      <w:r>
        <w:rPr>
          <w:rFonts w:ascii="Arial" w:hAnsi="Arial" w:cs="Arial"/>
          <w:bCs/>
          <w:sz w:val="18"/>
          <w:szCs w:val="18"/>
        </w:rPr>
        <w:t xml:space="preserve">It is recommended to use the </w:t>
      </w:r>
      <w:proofErr w:type="spellStart"/>
      <w:r>
        <w:rPr>
          <w:rFonts w:ascii="Arial" w:hAnsi="Arial" w:cs="Arial"/>
          <w:bCs/>
          <w:sz w:val="18"/>
          <w:szCs w:val="18"/>
        </w:rPr>
        <w:t>multi channel</w:t>
      </w:r>
      <w:proofErr w:type="spellEnd"/>
      <w:r>
        <w:rPr>
          <w:rFonts w:ascii="Arial" w:hAnsi="Arial" w:cs="Arial"/>
          <w:bCs/>
          <w:sz w:val="18"/>
          <w:szCs w:val="18"/>
        </w:rPr>
        <w:t xml:space="preserve"> pipettes to avoid time effect. A full plate of 96 wells may be used if automated pipetting is available. </w:t>
      </w:r>
    </w:p>
    <w:p w14:paraId="7AA2B49D" w14:textId="77777777" w:rsidR="00DD751D" w:rsidRDefault="00000000">
      <w:pPr>
        <w:pStyle w:val="ListParagraph"/>
        <w:numPr>
          <w:ilvl w:val="0"/>
          <w:numId w:val="10"/>
        </w:numPr>
        <w:tabs>
          <w:tab w:val="left" w:pos="360"/>
        </w:tabs>
        <w:jc w:val="both"/>
        <w:rPr>
          <w:rFonts w:ascii="Arial" w:hAnsi="Arial" w:cs="Arial"/>
          <w:bCs/>
          <w:sz w:val="18"/>
          <w:szCs w:val="18"/>
        </w:rPr>
      </w:pPr>
      <w:r>
        <w:rPr>
          <w:rFonts w:ascii="Arial" w:hAnsi="Arial" w:cs="Arial"/>
          <w:bCs/>
          <w:sz w:val="18"/>
          <w:szCs w:val="18"/>
        </w:rPr>
        <w:t xml:space="preserve">Duplication of standards, controls &amp; samples is not mandatory but may provide information on reproducibility &amp; application errors. </w:t>
      </w:r>
    </w:p>
    <w:p w14:paraId="4EF7DC07" w14:textId="77777777" w:rsidR="00DD751D" w:rsidRDefault="00DD751D">
      <w:pPr>
        <w:tabs>
          <w:tab w:val="left" w:pos="360"/>
        </w:tabs>
        <w:jc w:val="both"/>
        <w:rPr>
          <w:rFonts w:ascii="Arial" w:hAnsi="Arial" w:cs="Arial"/>
          <w:bCs/>
          <w:sz w:val="18"/>
          <w:szCs w:val="18"/>
        </w:rPr>
      </w:pPr>
    </w:p>
    <w:p w14:paraId="15C0CF17" w14:textId="77777777" w:rsidR="00DD751D" w:rsidRDefault="00000000">
      <w:pPr>
        <w:tabs>
          <w:tab w:val="left" w:pos="360"/>
        </w:tabs>
        <w:ind w:firstLineChars="200" w:firstLine="360"/>
        <w:jc w:val="both"/>
        <w:rPr>
          <w:rFonts w:ascii="Arial" w:hAnsi="Arial" w:cs="Arial"/>
          <w:bCs/>
          <w:sz w:val="18"/>
          <w:szCs w:val="18"/>
        </w:rPr>
      </w:pPr>
      <w:r>
        <w:rPr>
          <w:rFonts w:ascii="Arial" w:hAnsi="Arial" w:cs="Arial"/>
          <w:bCs/>
          <w:sz w:val="18"/>
          <w:szCs w:val="18"/>
        </w:rPr>
        <w:t xml:space="preserve">LIMITATIONS OF THE ASSAY </w:t>
      </w:r>
    </w:p>
    <w:p w14:paraId="20D550F7" w14:textId="77777777" w:rsidR="00DD751D" w:rsidRDefault="00000000">
      <w:pPr>
        <w:pStyle w:val="ListParagraph"/>
        <w:numPr>
          <w:ilvl w:val="0"/>
          <w:numId w:val="11"/>
        </w:numPr>
        <w:tabs>
          <w:tab w:val="left" w:pos="360"/>
        </w:tabs>
        <w:jc w:val="both"/>
        <w:rPr>
          <w:rFonts w:ascii="Arial" w:hAnsi="Arial" w:cs="Arial"/>
          <w:bCs/>
          <w:sz w:val="18"/>
          <w:szCs w:val="18"/>
        </w:rPr>
      </w:pPr>
      <w:r>
        <w:rPr>
          <w:rFonts w:ascii="Arial" w:hAnsi="Arial" w:cs="Arial"/>
          <w:bCs/>
          <w:sz w:val="18"/>
          <w:szCs w:val="18"/>
        </w:rPr>
        <w:t>The results obtained from this assay are not diagnostic proof of the presence or absence of a disease.</w:t>
      </w:r>
    </w:p>
    <w:p w14:paraId="328FE2A2" w14:textId="77777777" w:rsidR="00DD751D" w:rsidRDefault="00000000">
      <w:pPr>
        <w:pStyle w:val="ListParagraph"/>
        <w:numPr>
          <w:ilvl w:val="0"/>
          <w:numId w:val="11"/>
        </w:numPr>
        <w:tabs>
          <w:tab w:val="left" w:pos="360"/>
        </w:tabs>
        <w:jc w:val="both"/>
        <w:rPr>
          <w:rFonts w:ascii="Arial" w:hAnsi="Arial" w:cs="Arial"/>
          <w:bCs/>
          <w:sz w:val="18"/>
          <w:szCs w:val="18"/>
        </w:rPr>
      </w:pPr>
      <w:r>
        <w:rPr>
          <w:rFonts w:ascii="Arial" w:hAnsi="Arial" w:cs="Arial"/>
          <w:bCs/>
          <w:sz w:val="18"/>
          <w:szCs w:val="18"/>
        </w:rPr>
        <w:t xml:space="preserve">The activity of the enzyme used is temperature-dependent and the OD values may vary. The higher the room temperature (+18°C to +25°C) during substrate incubation, the greater will be the OD values. Corresponding variations apply also to the incubation times. However, the standards are subject to the same influences, with the result that such variations will be largely compensated in the calculation of the result. </w:t>
      </w:r>
    </w:p>
    <w:p w14:paraId="54F61E97" w14:textId="77777777" w:rsidR="00DD751D" w:rsidRDefault="00000000">
      <w:pPr>
        <w:pStyle w:val="ListParagraph"/>
        <w:numPr>
          <w:ilvl w:val="0"/>
          <w:numId w:val="11"/>
        </w:numPr>
        <w:tabs>
          <w:tab w:val="left" w:pos="360"/>
        </w:tabs>
        <w:jc w:val="both"/>
        <w:rPr>
          <w:rFonts w:ascii="Arial" w:hAnsi="Arial" w:cs="Arial"/>
          <w:bCs/>
          <w:sz w:val="18"/>
          <w:szCs w:val="18"/>
        </w:rPr>
      </w:pPr>
      <w:r>
        <w:rPr>
          <w:rFonts w:ascii="Arial" w:hAnsi="Arial" w:cs="Arial"/>
          <w:bCs/>
          <w:sz w:val="18"/>
          <w:szCs w:val="18"/>
        </w:rPr>
        <w:t xml:space="preserve">Adaptation of this assay for use with automated sample processors and other liquid handling devices, in whole or in part, may yield differences in test results from those obtained using the manual procedure. It is the responsibility of each laboratory to validate that their automated procedure yields test results within acceptable limits. </w:t>
      </w:r>
    </w:p>
    <w:p w14:paraId="01007A79" w14:textId="77777777" w:rsidR="00DD751D" w:rsidRDefault="00000000">
      <w:pPr>
        <w:pStyle w:val="ListParagraph"/>
        <w:numPr>
          <w:ilvl w:val="0"/>
          <w:numId w:val="11"/>
        </w:numPr>
        <w:tabs>
          <w:tab w:val="left" w:pos="360"/>
        </w:tabs>
        <w:jc w:val="both"/>
        <w:rPr>
          <w:rFonts w:ascii="Arial" w:hAnsi="Arial" w:cs="Arial"/>
          <w:bCs/>
          <w:sz w:val="18"/>
          <w:szCs w:val="18"/>
        </w:rPr>
      </w:pPr>
      <w:r>
        <w:rPr>
          <w:rFonts w:ascii="Arial" w:hAnsi="Arial" w:cs="Arial"/>
          <w:bCs/>
          <w:sz w:val="18"/>
          <w:szCs w:val="18"/>
        </w:rPr>
        <w:t xml:space="preserve">Insufficient washing (e.g., less than 5 wash cycles, too small wash buffer volumes, or shortened reaction times) can lead to incorrect OD values. </w:t>
      </w:r>
    </w:p>
    <w:p w14:paraId="0A6731DA" w14:textId="77777777" w:rsidR="00DD751D" w:rsidRDefault="00DD751D">
      <w:pPr>
        <w:tabs>
          <w:tab w:val="left" w:pos="360"/>
        </w:tabs>
        <w:jc w:val="both"/>
        <w:rPr>
          <w:rFonts w:ascii="Arial" w:hAnsi="Arial" w:cs="Arial"/>
          <w:bCs/>
          <w:sz w:val="18"/>
          <w:szCs w:val="18"/>
        </w:rPr>
      </w:pPr>
    </w:p>
    <w:p w14:paraId="33F02D06" w14:textId="77777777" w:rsidR="00DD751D" w:rsidRDefault="00000000">
      <w:pPr>
        <w:tabs>
          <w:tab w:val="left" w:pos="360"/>
        </w:tabs>
        <w:ind w:firstLineChars="200" w:firstLine="360"/>
        <w:jc w:val="both"/>
        <w:rPr>
          <w:rFonts w:ascii="Arial" w:hAnsi="Arial" w:cs="Arial"/>
          <w:bCs/>
          <w:sz w:val="18"/>
          <w:szCs w:val="18"/>
        </w:rPr>
      </w:pPr>
      <w:r>
        <w:rPr>
          <w:rFonts w:ascii="Arial" w:hAnsi="Arial" w:cs="Arial"/>
          <w:bCs/>
          <w:sz w:val="18"/>
          <w:szCs w:val="18"/>
        </w:rPr>
        <w:t>BIBLIOGRAPHY</w:t>
      </w:r>
    </w:p>
    <w:p w14:paraId="1FFC0055" w14:textId="77777777" w:rsidR="00DD751D" w:rsidRDefault="00000000">
      <w:pPr>
        <w:pStyle w:val="ListParagraph"/>
        <w:numPr>
          <w:ilvl w:val="0"/>
          <w:numId w:val="12"/>
        </w:numPr>
        <w:tabs>
          <w:tab w:val="left" w:pos="426"/>
        </w:tabs>
        <w:jc w:val="both"/>
        <w:rPr>
          <w:rFonts w:ascii="Arial" w:hAnsi="Arial" w:cs="Arial"/>
          <w:bCs/>
          <w:sz w:val="18"/>
          <w:szCs w:val="18"/>
        </w:rPr>
      </w:pPr>
      <w:proofErr w:type="spellStart"/>
      <w:r>
        <w:rPr>
          <w:rFonts w:ascii="Arial" w:hAnsi="Arial" w:cs="Arial"/>
          <w:bCs/>
          <w:sz w:val="18"/>
          <w:szCs w:val="18"/>
        </w:rPr>
        <w:t>Zetterstrom</w:t>
      </w:r>
      <w:proofErr w:type="spellEnd"/>
      <w:r>
        <w:rPr>
          <w:rFonts w:ascii="Arial" w:hAnsi="Arial" w:cs="Arial"/>
          <w:bCs/>
          <w:sz w:val="18"/>
          <w:szCs w:val="18"/>
        </w:rPr>
        <w:t xml:space="preserve"> and Johansson S.G.O. Allergy 1981; 36: 537 </w:t>
      </w:r>
    </w:p>
    <w:p w14:paraId="21A5811A" w14:textId="77777777" w:rsidR="00DD751D" w:rsidRDefault="00000000">
      <w:pPr>
        <w:pStyle w:val="ListParagraph"/>
        <w:numPr>
          <w:ilvl w:val="0"/>
          <w:numId w:val="12"/>
        </w:numPr>
        <w:tabs>
          <w:tab w:val="left" w:pos="360"/>
        </w:tabs>
        <w:jc w:val="both"/>
        <w:rPr>
          <w:rFonts w:ascii="Arial" w:hAnsi="Arial" w:cs="Arial"/>
          <w:bCs/>
          <w:sz w:val="18"/>
          <w:szCs w:val="18"/>
        </w:rPr>
      </w:pPr>
      <w:r>
        <w:rPr>
          <w:rFonts w:ascii="Arial" w:hAnsi="Arial" w:cs="Arial"/>
          <w:bCs/>
          <w:sz w:val="18"/>
          <w:szCs w:val="18"/>
        </w:rPr>
        <w:t xml:space="preserve">Buckley R.H. Immunopharmacology of Allergic Disease 1979; 117 </w:t>
      </w:r>
    </w:p>
    <w:p w14:paraId="655697D3" w14:textId="77777777" w:rsidR="00DD751D" w:rsidRDefault="00000000">
      <w:pPr>
        <w:pStyle w:val="ListParagraph"/>
        <w:numPr>
          <w:ilvl w:val="0"/>
          <w:numId w:val="12"/>
        </w:numPr>
        <w:tabs>
          <w:tab w:val="left" w:pos="360"/>
        </w:tabs>
        <w:jc w:val="both"/>
        <w:rPr>
          <w:rFonts w:ascii="Arial" w:hAnsi="Arial" w:cs="Arial"/>
          <w:bCs/>
          <w:sz w:val="18"/>
          <w:szCs w:val="18"/>
        </w:rPr>
      </w:pPr>
      <w:r>
        <w:rPr>
          <w:rFonts w:ascii="Arial" w:hAnsi="Arial" w:cs="Arial"/>
          <w:bCs/>
          <w:sz w:val="18"/>
          <w:szCs w:val="18"/>
        </w:rPr>
        <w:t xml:space="preserve">Michel F. B., Bousquet J. and </w:t>
      </w:r>
      <w:proofErr w:type="spellStart"/>
      <w:r>
        <w:rPr>
          <w:rFonts w:ascii="Arial" w:hAnsi="Arial" w:cs="Arial"/>
          <w:bCs/>
          <w:sz w:val="18"/>
          <w:szCs w:val="18"/>
        </w:rPr>
        <w:t>Greilier</w:t>
      </w:r>
      <w:proofErr w:type="spellEnd"/>
      <w:r>
        <w:rPr>
          <w:rFonts w:ascii="Arial" w:hAnsi="Arial" w:cs="Arial"/>
          <w:bCs/>
          <w:sz w:val="18"/>
          <w:szCs w:val="18"/>
        </w:rPr>
        <w:t xml:space="preserve"> P. J. Allergy Clin. Immunol. 1980; 64: 422 </w:t>
      </w:r>
    </w:p>
    <w:p w14:paraId="460B65E3" w14:textId="77777777" w:rsidR="00DD751D" w:rsidRDefault="00000000">
      <w:pPr>
        <w:pStyle w:val="ListParagraph"/>
        <w:numPr>
          <w:ilvl w:val="0"/>
          <w:numId w:val="12"/>
        </w:numPr>
        <w:tabs>
          <w:tab w:val="left" w:pos="360"/>
        </w:tabs>
        <w:jc w:val="both"/>
        <w:rPr>
          <w:rFonts w:ascii="Arial" w:hAnsi="Arial" w:cs="Arial"/>
          <w:bCs/>
          <w:sz w:val="18"/>
          <w:szCs w:val="18"/>
        </w:rPr>
      </w:pPr>
      <w:r>
        <w:rPr>
          <w:rFonts w:ascii="Arial" w:hAnsi="Arial" w:cs="Arial"/>
          <w:bCs/>
          <w:sz w:val="18"/>
          <w:szCs w:val="18"/>
        </w:rPr>
        <w:t xml:space="preserve">Ishizaka T. Ann Allergy 1982; 48: 313 </w:t>
      </w:r>
    </w:p>
    <w:p w14:paraId="3E508ABC" w14:textId="77777777" w:rsidR="00DD751D" w:rsidRDefault="00000000">
      <w:pPr>
        <w:pStyle w:val="ListParagraph"/>
        <w:numPr>
          <w:ilvl w:val="0"/>
          <w:numId w:val="12"/>
        </w:numPr>
        <w:tabs>
          <w:tab w:val="left" w:pos="360"/>
        </w:tabs>
        <w:jc w:val="both"/>
        <w:rPr>
          <w:rFonts w:ascii="Arial" w:hAnsi="Arial" w:cs="Arial"/>
          <w:bCs/>
          <w:sz w:val="18"/>
          <w:szCs w:val="18"/>
        </w:rPr>
      </w:pPr>
      <w:proofErr w:type="spellStart"/>
      <w:r>
        <w:rPr>
          <w:rFonts w:ascii="Arial" w:hAnsi="Arial" w:cs="Arial"/>
          <w:bCs/>
          <w:sz w:val="18"/>
          <w:szCs w:val="18"/>
        </w:rPr>
        <w:t>Kulczyski</w:t>
      </w:r>
      <w:proofErr w:type="spellEnd"/>
      <w:r>
        <w:rPr>
          <w:rFonts w:ascii="Arial" w:hAnsi="Arial" w:cs="Arial"/>
          <w:bCs/>
          <w:sz w:val="18"/>
          <w:szCs w:val="18"/>
        </w:rPr>
        <w:t xml:space="preserve"> A. Jr. J. Allergy Clin. Immunol. 1981; 68: 5</w:t>
      </w:r>
    </w:p>
    <w:p w14:paraId="32E71CE6" w14:textId="77777777" w:rsidR="00DD751D" w:rsidRDefault="00000000">
      <w:pPr>
        <w:pStyle w:val="ListParagraph"/>
        <w:numPr>
          <w:ilvl w:val="0"/>
          <w:numId w:val="12"/>
        </w:numPr>
        <w:tabs>
          <w:tab w:val="left" w:pos="360"/>
        </w:tabs>
        <w:jc w:val="both"/>
      </w:pPr>
      <w:r>
        <w:rPr>
          <w:rFonts w:ascii="Arial" w:hAnsi="Arial" w:cs="Arial"/>
          <w:bCs/>
          <w:sz w:val="18"/>
          <w:szCs w:val="18"/>
        </w:rPr>
        <w:t>Data on file: Orchid Biomedical Systems (P) Ltd.</w:t>
      </w:r>
    </w:p>
    <w:p w14:paraId="674C6BC9" w14:textId="77777777" w:rsidR="00DD751D" w:rsidRDefault="00DD751D">
      <w:pPr>
        <w:tabs>
          <w:tab w:val="left" w:pos="360"/>
        </w:tabs>
        <w:jc w:val="both"/>
      </w:pPr>
    </w:p>
    <w:p w14:paraId="79CFDBC0" w14:textId="77777777" w:rsidR="00DD751D" w:rsidRDefault="00000000">
      <w:pPr>
        <w:tabs>
          <w:tab w:val="left" w:pos="360"/>
        </w:tabs>
      </w:pPr>
      <w:r>
        <w:object w:dxaOrig="3796" w:dyaOrig="3210" w14:anchorId="0B2DB9D2">
          <v:shape id="_x0000_i1026" type="#_x0000_t75" style="width:189.8pt;height:160.5pt" o:ole="">
            <v:imagedata r:id="rId10" o:title=""/>
          </v:shape>
          <o:OLEObject Type="Embed" ProgID="CorelDraw.Graphic.23" ShapeID="_x0000_i1026" DrawAspect="Content" ObjectID="_1789647821" r:id="rId11"/>
        </w:object>
      </w:r>
    </w:p>
    <w:p w14:paraId="362E5DDF" w14:textId="77777777" w:rsidR="00DD751D" w:rsidRDefault="00DD751D">
      <w:pPr>
        <w:tabs>
          <w:tab w:val="left" w:pos="360"/>
        </w:tabs>
        <w:jc w:val="center"/>
      </w:pPr>
    </w:p>
    <w:p w14:paraId="2BD3F713" w14:textId="77777777" w:rsidR="00DD751D" w:rsidRDefault="00000000">
      <w:pPr>
        <w:tabs>
          <w:tab w:val="left" w:pos="360"/>
        </w:tabs>
        <w:jc w:val="center"/>
        <w:rPr>
          <w:rFonts w:ascii="Arial" w:hAnsi="Arial" w:cs="Arial"/>
          <w:i/>
          <w:sz w:val="14"/>
          <w:szCs w:val="18"/>
        </w:rPr>
      </w:pPr>
      <w:r>
        <w:object w:dxaOrig="3842" w:dyaOrig="1110" w14:anchorId="743E5EAA">
          <v:shape id="_x0000_i1027" type="#_x0000_t75" style="width:192.1pt;height:55.5pt" o:ole="">
            <v:imagedata r:id="rId12" o:title=""/>
          </v:shape>
          <o:OLEObject Type="Embed" ProgID="CorelDraw.Graphic.23" ShapeID="_x0000_i1027" DrawAspect="Content" ObjectID="_1789647822" r:id="rId13"/>
        </w:object>
      </w:r>
    </w:p>
    <w:sectPr w:rsidR="00DD751D">
      <w:headerReference w:type="even" r:id="rId14"/>
      <w:footerReference w:type="even" r:id="rId15"/>
      <w:footerReference w:type="default" r:id="rId16"/>
      <w:headerReference w:type="first" r:id="rId17"/>
      <w:footerReference w:type="first" r:id="rId18"/>
      <w:pgSz w:w="15840" w:h="12240" w:orient="landscape"/>
      <w:pgMar w:top="864" w:right="720" w:bottom="864" w:left="720" w:header="432" w:footer="432" w:gutter="0"/>
      <w:cols w:num="3" w:space="720" w:equalWidth="0">
        <w:col w:w="4560" w:space="720"/>
        <w:col w:w="3840" w:space="720"/>
        <w:col w:w="45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E752CF" w14:textId="77777777" w:rsidR="007559C2" w:rsidRDefault="007559C2">
      <w:r>
        <w:separator/>
      </w:r>
    </w:p>
  </w:endnote>
  <w:endnote w:type="continuationSeparator" w:id="0">
    <w:p w14:paraId="08A931A7" w14:textId="77777777" w:rsidR="007559C2" w:rsidRDefault="007559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 Old Style">
    <w:altName w:val="Segoe Print"/>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925961" w14:textId="77777777" w:rsidR="00DD751D" w:rsidRDefault="00DD751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89B98E" w14:textId="77777777" w:rsidR="00DD751D" w:rsidRDefault="00000000">
    <w:pPr>
      <w:pStyle w:val="Footer"/>
      <w:jc w:val="center"/>
    </w:pPr>
    <w:r>
      <w:t xml:space="preserve">Page </w:t>
    </w:r>
    <w:r>
      <w:fldChar w:fldCharType="begin"/>
    </w:r>
    <w:r>
      <w:instrText>PAGE</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AA7EA5" w14:textId="77777777" w:rsidR="00DD751D" w:rsidRDefault="00DD75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B493E8" w14:textId="77777777" w:rsidR="007559C2" w:rsidRDefault="007559C2">
      <w:r>
        <w:separator/>
      </w:r>
    </w:p>
  </w:footnote>
  <w:footnote w:type="continuationSeparator" w:id="0">
    <w:p w14:paraId="1FE46D2F" w14:textId="77777777" w:rsidR="007559C2" w:rsidRDefault="007559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F5598E" w14:textId="77777777" w:rsidR="00DD751D" w:rsidRDefault="00DD75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F572B8" w14:textId="77777777" w:rsidR="00DD751D" w:rsidRDefault="00DD751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DA80FBD5"/>
    <w:multiLevelType w:val="singleLevel"/>
    <w:tmpl w:val="DA80FBD5"/>
    <w:lvl w:ilvl="0">
      <w:start w:val="2"/>
      <w:numFmt w:val="upperLetter"/>
      <w:suff w:val="space"/>
      <w:lvlText w:val="%1)"/>
      <w:lvlJc w:val="left"/>
    </w:lvl>
  </w:abstractNum>
  <w:abstractNum w:abstractNumId="1" w15:restartNumberingAfterBreak="0">
    <w:nsid w:val="04D87954"/>
    <w:multiLevelType w:val="multilevel"/>
    <w:tmpl w:val="04D8795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204491A"/>
    <w:multiLevelType w:val="multilevel"/>
    <w:tmpl w:val="1204491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25E5936"/>
    <w:multiLevelType w:val="multilevel"/>
    <w:tmpl w:val="125E5936"/>
    <w:lvl w:ilvl="0">
      <w:start w:val="1"/>
      <w:numFmt w:val="decimal"/>
      <w:lvlText w:val="%1."/>
      <w:lvlJc w:val="left"/>
      <w:pPr>
        <w:ind w:left="560" w:hanging="360"/>
      </w:pPr>
      <w:rPr>
        <w:rFonts w:hint="default"/>
      </w:rPr>
    </w:lvl>
    <w:lvl w:ilvl="1">
      <w:start w:val="1"/>
      <w:numFmt w:val="lowerLetter"/>
      <w:lvlText w:val="%2."/>
      <w:lvlJc w:val="left"/>
      <w:pPr>
        <w:ind w:left="1485" w:hanging="360"/>
      </w:pPr>
    </w:lvl>
    <w:lvl w:ilvl="2">
      <w:start w:val="1"/>
      <w:numFmt w:val="lowerRoman"/>
      <w:lvlText w:val="%3."/>
      <w:lvlJc w:val="right"/>
      <w:pPr>
        <w:ind w:left="2205" w:hanging="180"/>
      </w:pPr>
    </w:lvl>
    <w:lvl w:ilvl="3">
      <w:start w:val="1"/>
      <w:numFmt w:val="decimal"/>
      <w:lvlText w:val="%4."/>
      <w:lvlJc w:val="left"/>
      <w:pPr>
        <w:ind w:left="2925" w:hanging="360"/>
      </w:pPr>
    </w:lvl>
    <w:lvl w:ilvl="4">
      <w:start w:val="1"/>
      <w:numFmt w:val="lowerLetter"/>
      <w:lvlText w:val="%5."/>
      <w:lvlJc w:val="left"/>
      <w:pPr>
        <w:ind w:left="3645" w:hanging="360"/>
      </w:pPr>
    </w:lvl>
    <w:lvl w:ilvl="5">
      <w:start w:val="1"/>
      <w:numFmt w:val="lowerRoman"/>
      <w:lvlText w:val="%6."/>
      <w:lvlJc w:val="right"/>
      <w:pPr>
        <w:ind w:left="4365" w:hanging="180"/>
      </w:pPr>
    </w:lvl>
    <w:lvl w:ilvl="6">
      <w:start w:val="1"/>
      <w:numFmt w:val="decimal"/>
      <w:lvlText w:val="%7."/>
      <w:lvlJc w:val="left"/>
      <w:pPr>
        <w:ind w:left="5085" w:hanging="360"/>
      </w:pPr>
    </w:lvl>
    <w:lvl w:ilvl="7">
      <w:start w:val="1"/>
      <w:numFmt w:val="lowerLetter"/>
      <w:lvlText w:val="%8."/>
      <w:lvlJc w:val="left"/>
      <w:pPr>
        <w:ind w:left="5805" w:hanging="360"/>
      </w:pPr>
    </w:lvl>
    <w:lvl w:ilvl="8">
      <w:start w:val="1"/>
      <w:numFmt w:val="lowerRoman"/>
      <w:lvlText w:val="%9."/>
      <w:lvlJc w:val="right"/>
      <w:pPr>
        <w:ind w:left="6525" w:hanging="180"/>
      </w:pPr>
    </w:lvl>
  </w:abstractNum>
  <w:abstractNum w:abstractNumId="4" w15:restartNumberingAfterBreak="0">
    <w:nsid w:val="231A4F3E"/>
    <w:multiLevelType w:val="multilevel"/>
    <w:tmpl w:val="231A4F3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ACA7B51"/>
    <w:multiLevelType w:val="multilevel"/>
    <w:tmpl w:val="439ACCAE"/>
    <w:lvl w:ilvl="0">
      <w:start w:val="1"/>
      <w:numFmt w:val="decimal"/>
      <w:lvlText w:val="%1."/>
      <w:lvlJc w:val="left"/>
      <w:pPr>
        <w:ind w:left="720" w:hanging="360"/>
      </w:pPr>
      <w:rPr>
        <w:rFonts w:ascii="Arial" w:hAnsi="Arial" w:cs="Arial" w:hint="default"/>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547421F5"/>
    <w:multiLevelType w:val="multilevel"/>
    <w:tmpl w:val="547421F5"/>
    <w:lvl w:ilvl="0">
      <w:numFmt w:val="bullet"/>
      <w:lvlText w:val="·"/>
      <w:lvlJc w:val="left"/>
      <w:pPr>
        <w:ind w:left="760" w:hanging="360"/>
      </w:pPr>
      <w:rPr>
        <w:rFonts w:ascii="Arial" w:eastAsia="Times New Roman" w:hAnsi="Arial" w:cs="Aria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7" w15:restartNumberingAfterBreak="0">
    <w:nsid w:val="57AC17FB"/>
    <w:multiLevelType w:val="multilevel"/>
    <w:tmpl w:val="57AC17FB"/>
    <w:lvl w:ilvl="0">
      <w:numFmt w:val="bullet"/>
      <w:lvlText w:val="·"/>
      <w:lvlJc w:val="left"/>
      <w:pPr>
        <w:ind w:left="760" w:hanging="360"/>
      </w:pPr>
      <w:rPr>
        <w:rFonts w:ascii="Arial" w:eastAsia="Times New Roman" w:hAnsi="Arial" w:cs="Aria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8" w15:restartNumberingAfterBreak="0">
    <w:nsid w:val="675C7B86"/>
    <w:multiLevelType w:val="multilevel"/>
    <w:tmpl w:val="675C7B86"/>
    <w:lvl w:ilvl="0">
      <w:start w:val="1"/>
      <w:numFmt w:val="decimal"/>
      <w:lvlText w:val="%1."/>
      <w:lvlJc w:val="left"/>
      <w:pPr>
        <w:ind w:left="765" w:hanging="360"/>
      </w:pPr>
      <w:rPr>
        <w:rFonts w:hint="default"/>
      </w:rPr>
    </w:lvl>
    <w:lvl w:ilvl="1">
      <w:start w:val="1"/>
      <w:numFmt w:val="lowerLetter"/>
      <w:lvlText w:val="%2."/>
      <w:lvlJc w:val="left"/>
      <w:pPr>
        <w:ind w:left="1485" w:hanging="360"/>
      </w:pPr>
    </w:lvl>
    <w:lvl w:ilvl="2">
      <w:start w:val="1"/>
      <w:numFmt w:val="lowerRoman"/>
      <w:lvlText w:val="%3."/>
      <w:lvlJc w:val="right"/>
      <w:pPr>
        <w:ind w:left="2205" w:hanging="180"/>
      </w:pPr>
    </w:lvl>
    <w:lvl w:ilvl="3">
      <w:start w:val="1"/>
      <w:numFmt w:val="decimal"/>
      <w:lvlText w:val="%4."/>
      <w:lvlJc w:val="left"/>
      <w:pPr>
        <w:ind w:left="2925" w:hanging="360"/>
      </w:pPr>
    </w:lvl>
    <w:lvl w:ilvl="4">
      <w:start w:val="1"/>
      <w:numFmt w:val="lowerLetter"/>
      <w:lvlText w:val="%5."/>
      <w:lvlJc w:val="left"/>
      <w:pPr>
        <w:ind w:left="3645" w:hanging="360"/>
      </w:pPr>
    </w:lvl>
    <w:lvl w:ilvl="5">
      <w:start w:val="1"/>
      <w:numFmt w:val="lowerRoman"/>
      <w:lvlText w:val="%6."/>
      <w:lvlJc w:val="right"/>
      <w:pPr>
        <w:ind w:left="4365" w:hanging="180"/>
      </w:pPr>
    </w:lvl>
    <w:lvl w:ilvl="6">
      <w:start w:val="1"/>
      <w:numFmt w:val="decimal"/>
      <w:lvlText w:val="%7."/>
      <w:lvlJc w:val="left"/>
      <w:pPr>
        <w:ind w:left="5085" w:hanging="360"/>
      </w:pPr>
    </w:lvl>
    <w:lvl w:ilvl="7">
      <w:start w:val="1"/>
      <w:numFmt w:val="lowerLetter"/>
      <w:lvlText w:val="%8."/>
      <w:lvlJc w:val="left"/>
      <w:pPr>
        <w:ind w:left="5805" w:hanging="360"/>
      </w:pPr>
    </w:lvl>
    <w:lvl w:ilvl="8">
      <w:start w:val="1"/>
      <w:numFmt w:val="lowerRoman"/>
      <w:lvlText w:val="%9."/>
      <w:lvlJc w:val="right"/>
      <w:pPr>
        <w:ind w:left="6525" w:hanging="180"/>
      </w:pPr>
    </w:lvl>
  </w:abstractNum>
  <w:abstractNum w:abstractNumId="9" w15:restartNumberingAfterBreak="0">
    <w:nsid w:val="71EF2ED0"/>
    <w:multiLevelType w:val="multilevel"/>
    <w:tmpl w:val="71EF2ED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74621673"/>
    <w:multiLevelType w:val="multilevel"/>
    <w:tmpl w:val="74621673"/>
    <w:lvl w:ilvl="0">
      <w:start w:val="1"/>
      <w:numFmt w:val="decimal"/>
      <w:lvlText w:val="%1."/>
      <w:lvlJc w:val="left"/>
      <w:pPr>
        <w:ind w:left="7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9DC31BF"/>
    <w:multiLevelType w:val="multilevel"/>
    <w:tmpl w:val="79DC31BF"/>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7E380B30"/>
    <w:multiLevelType w:val="hybridMultilevel"/>
    <w:tmpl w:val="2A62738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284577670">
    <w:abstractNumId w:val="6"/>
  </w:num>
  <w:num w:numId="2" w16cid:durableId="587924414">
    <w:abstractNumId w:val="7"/>
  </w:num>
  <w:num w:numId="3" w16cid:durableId="402994431">
    <w:abstractNumId w:val="4"/>
  </w:num>
  <w:num w:numId="4" w16cid:durableId="432478501">
    <w:abstractNumId w:val="8"/>
  </w:num>
  <w:num w:numId="5" w16cid:durableId="1546985257">
    <w:abstractNumId w:val="10"/>
  </w:num>
  <w:num w:numId="6" w16cid:durableId="1496341636">
    <w:abstractNumId w:val="1"/>
  </w:num>
  <w:num w:numId="7" w16cid:durableId="2024739556">
    <w:abstractNumId w:val="3"/>
  </w:num>
  <w:num w:numId="8" w16cid:durableId="1279869997">
    <w:abstractNumId w:val="11"/>
  </w:num>
  <w:num w:numId="9" w16cid:durableId="388192339">
    <w:abstractNumId w:val="0"/>
  </w:num>
  <w:num w:numId="10" w16cid:durableId="925771363">
    <w:abstractNumId w:val="9"/>
  </w:num>
  <w:num w:numId="11" w16cid:durableId="472986169">
    <w:abstractNumId w:val="2"/>
  </w:num>
  <w:num w:numId="12" w16cid:durableId="1080639353">
    <w:abstractNumId w:val="5"/>
  </w:num>
  <w:num w:numId="13" w16cid:durableId="76260725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20"/>
  <w:doNotHyphenateCaps/>
  <w:displayHorizontalDrawingGridEvery w:val="0"/>
  <w:displayVerticalDrawingGridEvery w:val="0"/>
  <w:doNotUseMarginsForDrawingGridOrigin/>
  <w:drawingGridHorizontalOrigin w:val="1800"/>
  <w:drawingGridVerticalOrigin w:val="1440"/>
  <w:doNotShadeFormData/>
  <w:noPunctuationKerning/>
  <w:characterSpacingControl w:val="doNotCompress"/>
  <w:savePreviewPicture/>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3C8"/>
    <w:rsid w:val="000032CD"/>
    <w:rsid w:val="000236CC"/>
    <w:rsid w:val="00065081"/>
    <w:rsid w:val="000B0CEA"/>
    <w:rsid w:val="000E17FF"/>
    <w:rsid w:val="000E2D0E"/>
    <w:rsid w:val="000F2C37"/>
    <w:rsid w:val="001214F1"/>
    <w:rsid w:val="00131B4D"/>
    <w:rsid w:val="00137225"/>
    <w:rsid w:val="0014703A"/>
    <w:rsid w:val="00152295"/>
    <w:rsid w:val="00166AE2"/>
    <w:rsid w:val="00170243"/>
    <w:rsid w:val="00171DEA"/>
    <w:rsid w:val="001960B7"/>
    <w:rsid w:val="001A2E93"/>
    <w:rsid w:val="001B50AD"/>
    <w:rsid w:val="001B5B32"/>
    <w:rsid w:val="001C1818"/>
    <w:rsid w:val="001C1DF0"/>
    <w:rsid w:val="001C2CA2"/>
    <w:rsid w:val="001D0CB0"/>
    <w:rsid w:val="001D687F"/>
    <w:rsid w:val="001F1DD0"/>
    <w:rsid w:val="001F2373"/>
    <w:rsid w:val="001F2D7F"/>
    <w:rsid w:val="001F2F45"/>
    <w:rsid w:val="001F344E"/>
    <w:rsid w:val="001F5730"/>
    <w:rsid w:val="001F7924"/>
    <w:rsid w:val="00200DE9"/>
    <w:rsid w:val="00203F09"/>
    <w:rsid w:val="002042A3"/>
    <w:rsid w:val="002329EF"/>
    <w:rsid w:val="00234789"/>
    <w:rsid w:val="002412B6"/>
    <w:rsid w:val="002A021A"/>
    <w:rsid w:val="002B2AAA"/>
    <w:rsid w:val="002D1DE3"/>
    <w:rsid w:val="002D4C93"/>
    <w:rsid w:val="002E491C"/>
    <w:rsid w:val="0030216B"/>
    <w:rsid w:val="00322176"/>
    <w:rsid w:val="00325EE7"/>
    <w:rsid w:val="003447F8"/>
    <w:rsid w:val="00350958"/>
    <w:rsid w:val="00350FE6"/>
    <w:rsid w:val="00367BE0"/>
    <w:rsid w:val="003A3C1E"/>
    <w:rsid w:val="003C2AD4"/>
    <w:rsid w:val="003C6025"/>
    <w:rsid w:val="003E2C87"/>
    <w:rsid w:val="00415F51"/>
    <w:rsid w:val="004569D5"/>
    <w:rsid w:val="00475744"/>
    <w:rsid w:val="00490520"/>
    <w:rsid w:val="004A017D"/>
    <w:rsid w:val="004A749E"/>
    <w:rsid w:val="004F00B7"/>
    <w:rsid w:val="0053059F"/>
    <w:rsid w:val="00580FE2"/>
    <w:rsid w:val="005967F3"/>
    <w:rsid w:val="005B47DA"/>
    <w:rsid w:val="005C438D"/>
    <w:rsid w:val="005C4601"/>
    <w:rsid w:val="005C7851"/>
    <w:rsid w:val="005D14FD"/>
    <w:rsid w:val="00690FA0"/>
    <w:rsid w:val="00691164"/>
    <w:rsid w:val="00691AF2"/>
    <w:rsid w:val="0069319B"/>
    <w:rsid w:val="00693A7F"/>
    <w:rsid w:val="006B68A2"/>
    <w:rsid w:val="006C1D4D"/>
    <w:rsid w:val="006E51E2"/>
    <w:rsid w:val="006E5B7D"/>
    <w:rsid w:val="006F1917"/>
    <w:rsid w:val="007417BA"/>
    <w:rsid w:val="007559C2"/>
    <w:rsid w:val="00763725"/>
    <w:rsid w:val="007650B8"/>
    <w:rsid w:val="007709B4"/>
    <w:rsid w:val="007743C8"/>
    <w:rsid w:val="00780A13"/>
    <w:rsid w:val="007846E1"/>
    <w:rsid w:val="00791CE1"/>
    <w:rsid w:val="007C3381"/>
    <w:rsid w:val="0080477D"/>
    <w:rsid w:val="008060B9"/>
    <w:rsid w:val="00807308"/>
    <w:rsid w:val="008131CD"/>
    <w:rsid w:val="008275B9"/>
    <w:rsid w:val="0086479E"/>
    <w:rsid w:val="00880D76"/>
    <w:rsid w:val="008B60FC"/>
    <w:rsid w:val="008E507D"/>
    <w:rsid w:val="00922C13"/>
    <w:rsid w:val="009271F7"/>
    <w:rsid w:val="0093184E"/>
    <w:rsid w:val="00933A79"/>
    <w:rsid w:val="00940971"/>
    <w:rsid w:val="00991FA3"/>
    <w:rsid w:val="00993132"/>
    <w:rsid w:val="00994741"/>
    <w:rsid w:val="00997C8D"/>
    <w:rsid w:val="009A35AC"/>
    <w:rsid w:val="00A00D6C"/>
    <w:rsid w:val="00A064B6"/>
    <w:rsid w:val="00A175D1"/>
    <w:rsid w:val="00A339AD"/>
    <w:rsid w:val="00A346F5"/>
    <w:rsid w:val="00A429AD"/>
    <w:rsid w:val="00A74AA9"/>
    <w:rsid w:val="00A80735"/>
    <w:rsid w:val="00A84946"/>
    <w:rsid w:val="00AC16E8"/>
    <w:rsid w:val="00AE7ED6"/>
    <w:rsid w:val="00AF6A29"/>
    <w:rsid w:val="00B141ED"/>
    <w:rsid w:val="00BB148B"/>
    <w:rsid w:val="00BE3603"/>
    <w:rsid w:val="00BE38FB"/>
    <w:rsid w:val="00BE437E"/>
    <w:rsid w:val="00BF4EAE"/>
    <w:rsid w:val="00C23350"/>
    <w:rsid w:val="00C37A29"/>
    <w:rsid w:val="00C4038C"/>
    <w:rsid w:val="00C41C2A"/>
    <w:rsid w:val="00C4489E"/>
    <w:rsid w:val="00C62BF6"/>
    <w:rsid w:val="00C6420C"/>
    <w:rsid w:val="00C64B48"/>
    <w:rsid w:val="00C765E7"/>
    <w:rsid w:val="00C80C1E"/>
    <w:rsid w:val="00CA5160"/>
    <w:rsid w:val="00CA5B79"/>
    <w:rsid w:val="00CA674C"/>
    <w:rsid w:val="00CB4D77"/>
    <w:rsid w:val="00CB7351"/>
    <w:rsid w:val="00CC1C17"/>
    <w:rsid w:val="00CC4CF9"/>
    <w:rsid w:val="00CE33A1"/>
    <w:rsid w:val="00CF4C14"/>
    <w:rsid w:val="00D72C8C"/>
    <w:rsid w:val="00D740F5"/>
    <w:rsid w:val="00D86CBB"/>
    <w:rsid w:val="00DA500C"/>
    <w:rsid w:val="00DB2FE4"/>
    <w:rsid w:val="00DB48F8"/>
    <w:rsid w:val="00DB4A5B"/>
    <w:rsid w:val="00DD751D"/>
    <w:rsid w:val="00E05601"/>
    <w:rsid w:val="00E25627"/>
    <w:rsid w:val="00E2719F"/>
    <w:rsid w:val="00E67E07"/>
    <w:rsid w:val="00E73CF2"/>
    <w:rsid w:val="00E81CEB"/>
    <w:rsid w:val="00E82464"/>
    <w:rsid w:val="00EA6728"/>
    <w:rsid w:val="00EB4AFD"/>
    <w:rsid w:val="00EB550C"/>
    <w:rsid w:val="00EE0E53"/>
    <w:rsid w:val="00F00A6A"/>
    <w:rsid w:val="00F012BA"/>
    <w:rsid w:val="00F109BB"/>
    <w:rsid w:val="00F15018"/>
    <w:rsid w:val="00F74F7B"/>
    <w:rsid w:val="00F818A7"/>
    <w:rsid w:val="00F83FFF"/>
    <w:rsid w:val="00F92675"/>
    <w:rsid w:val="00FC3676"/>
    <w:rsid w:val="00FD3AA9"/>
    <w:rsid w:val="21704EA7"/>
    <w:rsid w:val="7E0B2E95"/>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12FFF541"/>
  <w15:docId w15:val="{20E433A5-12FD-45A2-986D-F11EFD658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qFormat="1"/>
    <w:lsdException w:name="footer" w:semiHidden="1"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eastAsia="en-US"/>
    </w:rPr>
  </w:style>
  <w:style w:type="paragraph" w:styleId="Heading1">
    <w:name w:val="heading 1"/>
    <w:basedOn w:val="Normal"/>
    <w:next w:val="Normal"/>
    <w:qFormat/>
    <w:pPr>
      <w:keepNext/>
      <w:jc w:val="center"/>
      <w:outlineLvl w:val="0"/>
    </w:pPr>
    <w:rPr>
      <w:rFonts w:ascii="Bookman Old Style" w:hAnsi="Bookman Old Style"/>
      <w:sz w:val="24"/>
    </w:rPr>
  </w:style>
  <w:style w:type="paragraph" w:styleId="Heading2">
    <w:name w:val="heading 2"/>
    <w:basedOn w:val="Normal"/>
    <w:next w:val="Normal"/>
    <w:qFormat/>
    <w:pPr>
      <w:keepNext/>
      <w:tabs>
        <w:tab w:val="left" w:pos="360"/>
      </w:tabs>
      <w:jc w:val="both"/>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paragraph" w:styleId="BodyText">
    <w:name w:val="Body Text"/>
    <w:basedOn w:val="Normal"/>
    <w:semiHidden/>
    <w:qFormat/>
    <w:pPr>
      <w:jc w:val="center"/>
    </w:pPr>
    <w:rPr>
      <w:b/>
    </w:rPr>
  </w:style>
  <w:style w:type="paragraph" w:styleId="BodyText3">
    <w:name w:val="Body Text 3"/>
    <w:basedOn w:val="Normal"/>
    <w:link w:val="BodyText3Char"/>
    <w:uiPriority w:val="99"/>
    <w:unhideWhenUsed/>
    <w:pPr>
      <w:spacing w:after="120"/>
    </w:pPr>
    <w:rPr>
      <w:sz w:val="16"/>
      <w:szCs w:val="16"/>
      <w:lang w:val="zh-CN"/>
    </w:rPr>
  </w:style>
  <w:style w:type="paragraph" w:styleId="Footer">
    <w:name w:val="footer"/>
    <w:basedOn w:val="Normal"/>
    <w:semiHidden/>
    <w:qFormat/>
    <w:pPr>
      <w:tabs>
        <w:tab w:val="center" w:pos="4320"/>
        <w:tab w:val="right" w:pos="8640"/>
      </w:tabs>
    </w:pPr>
  </w:style>
  <w:style w:type="paragraph" w:styleId="Header">
    <w:name w:val="header"/>
    <w:basedOn w:val="Normal"/>
    <w:semiHidden/>
    <w:qFormat/>
    <w:pPr>
      <w:tabs>
        <w:tab w:val="center" w:pos="4320"/>
        <w:tab w:val="right" w:pos="8640"/>
      </w:tabs>
    </w:p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3Char">
    <w:name w:val="Body Text 3 Char"/>
    <w:link w:val="BodyText3"/>
    <w:uiPriority w:val="99"/>
    <w:rPr>
      <w:sz w:val="16"/>
      <w:szCs w:val="16"/>
      <w:lang w:eastAsia="en-US"/>
    </w:rPr>
  </w:style>
  <w:style w:type="paragraph" w:styleId="ListParagraph">
    <w:name w:val="List Paragraph"/>
    <w:basedOn w:val="Normal"/>
    <w:uiPriority w:val="34"/>
    <w:qFormat/>
    <w:pPr>
      <w:ind w:left="72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3.bin"/><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460</TotalTime>
  <Pages>3</Pages>
  <Words>1750</Words>
  <Characters>9980</Characters>
  <Application>Microsoft Office Word</Application>
  <DocSecurity>0</DocSecurity>
  <Lines>83</Lines>
  <Paragraphs>23</Paragraphs>
  <ScaleCrop>false</ScaleCrop>
  <Company>E&amp;E Labs, Inc.</Company>
  <LinksUpToDate>false</LinksUpToDate>
  <CharactersWithSpaces>11707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AFP enzyme immunoassay test kit</dc:title>
  <dc:creator>SHAO FANG YOU</dc:creator>
  <cp:lastModifiedBy>Prathiba Adappa</cp:lastModifiedBy>
  <cp:revision>39</cp:revision>
  <cp:lastPrinted>2008-08-26T11:33:00Z</cp:lastPrinted>
  <dcterms:created xsi:type="dcterms:W3CDTF">2024-08-01T07:51:00Z</dcterms:created>
  <dcterms:modified xsi:type="dcterms:W3CDTF">2024-10-05T10:07:00Z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2057-12.2.0.17153</vt:lpwstr>
  </property>
  <property fmtid="{D5CDD505-2E9C-101B-9397-08002B2CF9AE}" pid="3" name="ICV">
    <vt:lpwstr>B39BCF7655A2406C97D394E0C369524C_12</vt:lpwstr>
  </property>
</Properties>
</file>