
<file path=[Content_Types].xml><?xml version="1.0" encoding="utf-8"?>
<Types xmlns="http://schemas.openxmlformats.org/package/2006/content-types">
  <Default Extension="xml" ContentType="application/xml"/>
  <Default Extension="wmf" ContentType="image/x-wmf"/>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CC22F9">
      <w:pPr>
        <w:pStyle w:val="9"/>
        <w:tabs>
          <w:tab w:val="clear" w:pos="4320"/>
          <w:tab w:val="clear" w:pos="8640"/>
        </w:tabs>
        <w:rPr>
          <w:sz w:val="24"/>
        </w:rPr>
      </w:pPr>
      <w:r>
        <mc:AlternateContent>
          <mc:Choice Requires="wps">
            <w:drawing>
              <wp:anchor distT="0" distB="0" distL="114300" distR="114300" simplePos="0" relativeHeight="251659264" behindDoc="0" locked="0" layoutInCell="0" allowOverlap="1">
                <wp:simplePos x="0" y="0"/>
                <wp:positionH relativeFrom="column">
                  <wp:posOffset>95250</wp:posOffset>
                </wp:positionH>
                <wp:positionV relativeFrom="paragraph">
                  <wp:posOffset>3810</wp:posOffset>
                </wp:positionV>
                <wp:extent cx="2651760" cy="1071880"/>
                <wp:effectExtent l="0" t="0" r="0" b="0"/>
                <wp:wrapNone/>
                <wp:docPr id="1889227577" name="Rectangle 2"/>
                <wp:cNvGraphicFramePr/>
                <a:graphic xmlns:a="http://schemas.openxmlformats.org/drawingml/2006/main">
                  <a:graphicData uri="http://schemas.microsoft.com/office/word/2010/wordprocessingShape">
                    <wps:wsp>
                      <wps:cNvSpPr>
                        <a:spLocks noChangeArrowheads="1"/>
                      </wps:cNvSpPr>
                      <wps:spPr bwMode="auto">
                        <a:xfrm>
                          <a:off x="0" y="0"/>
                          <a:ext cx="2651760" cy="1071880"/>
                        </a:xfrm>
                        <a:prstGeom prst="rect">
                          <a:avLst/>
                        </a:prstGeom>
                        <a:noFill/>
                        <a:ln>
                          <a:noFill/>
                        </a:ln>
                        <a:effectLst/>
                      </wps:spPr>
                      <wps:txbx>
                        <w:txbxContent>
                          <w:p w14:paraId="5931516D">
                            <w:pPr>
                              <w:jc w:val="center"/>
                              <w:rPr>
                                <w:rFonts w:ascii="Bookman Old Style" w:hAnsi="Bookman Old Style"/>
                                <w:b/>
                                <w:sz w:val="24"/>
                              </w:rPr>
                            </w:pPr>
                            <w:r>
                              <w:rPr>
                                <w:rFonts w:ascii="Bookman Old Style" w:hAnsi="Bookman Old Style"/>
                                <w:b/>
                                <w:sz w:val="24"/>
                              </w:rPr>
                              <w:t xml:space="preserve">Herpes Simplex Virus 1,2 IgG </w:t>
                            </w:r>
                          </w:p>
                          <w:p w14:paraId="616BC2BF">
                            <w:pPr>
                              <w:jc w:val="center"/>
                              <w:rPr>
                                <w:rFonts w:ascii="Bookman Old Style" w:hAnsi="Bookman Old Style"/>
                                <w:b/>
                                <w:sz w:val="24"/>
                              </w:rPr>
                            </w:pPr>
                            <w:r>
                              <w:rPr>
                                <w:rFonts w:ascii="Bookman Old Style" w:hAnsi="Bookman Old Style"/>
                                <w:b/>
                                <w:sz w:val="24"/>
                              </w:rPr>
                              <w:t>(HSV 1,2 IgG)</w:t>
                            </w:r>
                          </w:p>
                          <w:p w14:paraId="07350C69">
                            <w:pPr>
                              <w:jc w:val="center"/>
                              <w:rPr>
                                <w:rFonts w:ascii="Bookman Old Style" w:hAnsi="Bookman Old Style"/>
                                <w:b/>
                                <w:sz w:val="24"/>
                              </w:rPr>
                            </w:pPr>
                            <w:r>
                              <w:rPr>
                                <w:rFonts w:ascii="Bookman Old Style" w:hAnsi="Bookman Old Style"/>
                                <w:b/>
                                <w:sz w:val="24"/>
                              </w:rPr>
                              <w:t xml:space="preserve">ENZYME IMMUNOASSAY </w:t>
                            </w:r>
                          </w:p>
                          <w:p w14:paraId="1929C76D">
                            <w:pPr>
                              <w:jc w:val="center"/>
                              <w:rPr>
                                <w:rFonts w:ascii="Bookman Old Style" w:hAnsi="Bookman Old Style"/>
                                <w:b/>
                                <w:sz w:val="24"/>
                              </w:rPr>
                            </w:pPr>
                            <w:r>
                              <w:rPr>
                                <w:rFonts w:ascii="Bookman Old Style" w:hAnsi="Bookman Old Style"/>
                                <w:b/>
                                <w:sz w:val="24"/>
                              </w:rPr>
                              <w:t>TEST KIT</w:t>
                            </w:r>
                          </w:p>
                          <w:p w14:paraId="72D46BAC">
                            <w:pPr>
                              <w:jc w:val="center"/>
                              <w:rPr>
                                <w:b/>
                                <w:sz w:val="28"/>
                              </w:rPr>
                            </w:pPr>
                          </w:p>
                        </w:txbxContent>
                      </wps:txbx>
                      <wps:bodyPr rot="0" vert="horz" wrap="square" lIns="12700" tIns="12700" rIns="12700" bIns="12700" anchor="t" anchorCtr="0" upright="1">
                        <a:noAutofit/>
                      </wps:bodyPr>
                    </wps:wsp>
                  </a:graphicData>
                </a:graphic>
              </wp:anchor>
            </w:drawing>
          </mc:Choice>
          <mc:Fallback>
            <w:pict>
              <v:rect id="Rectangle 2" o:spid="_x0000_s1026" o:spt="1" style="position:absolute;left:0pt;margin-left:7.5pt;margin-top:0.3pt;height:84.4pt;width:208.8pt;z-index:251659264;mso-width-relative:page;mso-height-relative:page;" filled="f" stroked="f" coordsize="21600,21600" o:allowincell="f" o:gfxdata="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&#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GDyxoTVAAAABwEAAA8AAAAAAAAAAQAgAAAAIgAAAGRy&#10;cy9kb3ducmV2LnhtbFBLAQIUABQAAAAIAIdO4kAMXbS1CAIAACMEAAAOAAAAAAAAAAEAIAAAACQB&#10;AABkcnMvZTJvRG9jLnhtbFBLBQYAAAAABgAGAFkBAACeBQAAAAA=&#10;">
                <v:fill on="f" focussize="0,0"/>
                <v:stroke on="f"/>
                <v:imagedata o:title=""/>
                <o:lock v:ext="edit" aspectratio="f"/>
                <v:textbox inset="1pt,1pt,1pt,1pt">
                  <w:txbxContent>
                    <w:p w14:paraId="5931516D">
                      <w:pPr>
                        <w:jc w:val="center"/>
                        <w:rPr>
                          <w:rFonts w:ascii="Bookman Old Style" w:hAnsi="Bookman Old Style"/>
                          <w:b/>
                          <w:sz w:val="24"/>
                        </w:rPr>
                      </w:pPr>
                      <w:r>
                        <w:rPr>
                          <w:rFonts w:ascii="Bookman Old Style" w:hAnsi="Bookman Old Style"/>
                          <w:b/>
                          <w:sz w:val="24"/>
                        </w:rPr>
                        <w:t xml:space="preserve">Herpes Simplex Virus 1,2 IgG </w:t>
                      </w:r>
                    </w:p>
                    <w:p w14:paraId="616BC2BF">
                      <w:pPr>
                        <w:jc w:val="center"/>
                        <w:rPr>
                          <w:rFonts w:ascii="Bookman Old Style" w:hAnsi="Bookman Old Style"/>
                          <w:b/>
                          <w:sz w:val="24"/>
                        </w:rPr>
                      </w:pPr>
                      <w:r>
                        <w:rPr>
                          <w:rFonts w:ascii="Bookman Old Style" w:hAnsi="Bookman Old Style"/>
                          <w:b/>
                          <w:sz w:val="24"/>
                        </w:rPr>
                        <w:t>(HSV 1,2 IgG)</w:t>
                      </w:r>
                    </w:p>
                    <w:p w14:paraId="07350C69">
                      <w:pPr>
                        <w:jc w:val="center"/>
                        <w:rPr>
                          <w:rFonts w:ascii="Bookman Old Style" w:hAnsi="Bookman Old Style"/>
                          <w:b/>
                          <w:sz w:val="24"/>
                        </w:rPr>
                      </w:pPr>
                      <w:r>
                        <w:rPr>
                          <w:rFonts w:ascii="Bookman Old Style" w:hAnsi="Bookman Old Style"/>
                          <w:b/>
                          <w:sz w:val="24"/>
                        </w:rPr>
                        <w:t xml:space="preserve">ENZYME IMMUNOASSAY </w:t>
                      </w:r>
                    </w:p>
                    <w:p w14:paraId="1929C76D">
                      <w:pPr>
                        <w:jc w:val="center"/>
                        <w:rPr>
                          <w:rFonts w:ascii="Bookman Old Style" w:hAnsi="Bookman Old Style"/>
                          <w:b/>
                          <w:sz w:val="24"/>
                        </w:rPr>
                      </w:pPr>
                      <w:r>
                        <w:rPr>
                          <w:rFonts w:ascii="Bookman Old Style" w:hAnsi="Bookman Old Style"/>
                          <w:b/>
                          <w:sz w:val="24"/>
                        </w:rPr>
                        <w:t>TEST KIT</w:t>
                      </w:r>
                    </w:p>
                    <w:p w14:paraId="72D46BAC">
                      <w:pPr>
                        <w:jc w:val="center"/>
                        <w:rPr>
                          <w:b/>
                          <w:sz w:val="28"/>
                        </w:rPr>
                      </w:pPr>
                    </w:p>
                  </w:txbxContent>
                </v:textbox>
              </v:rect>
            </w:pict>
          </mc:Fallback>
        </mc:AlternateContent>
      </w:r>
    </w:p>
    <w:p w14:paraId="2166729D">
      <w:pPr>
        <w:rPr>
          <w:sz w:val="24"/>
        </w:rPr>
      </w:pPr>
    </w:p>
    <w:p w14:paraId="7247C7CD">
      <w:pPr>
        <w:rPr>
          <w:sz w:val="24"/>
        </w:rPr>
      </w:pPr>
    </w:p>
    <w:p w14:paraId="46C8EA59">
      <w:pPr>
        <w:tabs>
          <w:tab w:val="left" w:pos="360"/>
        </w:tabs>
        <w:jc w:val="center"/>
        <w:rPr>
          <w:rFonts w:ascii="Arial" w:hAnsi="Arial" w:cs="Arial"/>
          <w:b/>
        </w:rPr>
      </w:pPr>
    </w:p>
    <w:p w14:paraId="24D3414F">
      <w:pPr>
        <w:tabs>
          <w:tab w:val="left" w:pos="360"/>
        </w:tabs>
        <w:jc w:val="center"/>
        <w:rPr>
          <w:rFonts w:ascii="Arial" w:hAnsi="Arial" w:cs="Arial"/>
          <w:b/>
        </w:rPr>
      </w:pPr>
    </w:p>
    <w:p w14:paraId="402CE9E4">
      <w:pPr>
        <w:tabs>
          <w:tab w:val="left" w:pos="360"/>
        </w:tabs>
        <w:jc w:val="center"/>
        <w:rPr>
          <w:rFonts w:ascii="Arial" w:hAnsi="Arial" w:cs="Arial"/>
          <w:b/>
        </w:rPr>
      </w:pPr>
    </w:p>
    <w:p w14:paraId="1E77127D">
      <w:pPr>
        <w:tabs>
          <w:tab w:val="left" w:pos="360"/>
        </w:tabs>
        <w:jc w:val="center"/>
        <w:rPr>
          <w:rFonts w:ascii="Arial" w:hAnsi="Arial" w:cs="Arial"/>
          <w:b/>
        </w:rPr>
      </w:pPr>
    </w:p>
    <w:p w14:paraId="61B0A103">
      <w:pPr>
        <w:tabs>
          <w:tab w:val="left" w:pos="360"/>
        </w:tabs>
        <w:jc w:val="center"/>
        <w:rPr>
          <w:rFonts w:ascii="Arial" w:hAnsi="Arial" w:cs="Arial"/>
          <w:b/>
        </w:rPr>
      </w:pPr>
      <w:r>
        <w:rPr>
          <w:rFonts w:ascii="Arial" w:hAnsi="Arial" w:cs="Arial"/>
          <w:b/>
        </w:rPr>
        <w:t>Enzyme Linked Immunosorbent Assay (ELISA) for Qualitative Detection of HSV 1,2 IgG antibody in Human Serum</w:t>
      </w:r>
    </w:p>
    <w:p w14:paraId="228AB91E">
      <w:pPr>
        <w:tabs>
          <w:tab w:val="left" w:pos="360"/>
        </w:tabs>
        <w:jc w:val="center"/>
        <w:rPr>
          <w:rFonts w:ascii="Arial" w:hAnsi="Arial" w:cs="Arial"/>
          <w:b/>
        </w:rPr>
      </w:pPr>
    </w:p>
    <w:p w14:paraId="11FADF6C">
      <w:pPr>
        <w:tabs>
          <w:tab w:val="left" w:pos="360"/>
        </w:tabs>
        <w:jc w:val="center"/>
        <w:rPr>
          <w:rFonts w:ascii="Arial" w:hAnsi="Arial" w:cs="Arial"/>
          <w:b/>
        </w:rPr>
      </w:pPr>
      <w:r>
        <w:rPr>
          <w:rFonts w:ascii="Arial" w:hAnsi="Arial" w:cs="Arial"/>
          <w:b/>
        </w:rPr>
        <w:t>FOR IN VITRO DIAGNOSTIC USE ONLY</w:t>
      </w:r>
    </w:p>
    <w:p w14:paraId="6059E94E">
      <w:pPr>
        <w:tabs>
          <w:tab w:val="left" w:pos="360"/>
        </w:tabs>
        <w:jc w:val="center"/>
        <w:rPr>
          <w:rFonts w:ascii="Arial" w:hAnsi="Arial" w:cs="Arial"/>
          <w:b/>
        </w:rPr>
      </w:pPr>
      <w:r>
        <w:rPr>
          <w:rFonts w:ascii="Arial" w:hAnsi="Arial" w:cs="Arial"/>
          <w:b/>
        </w:rPr>
        <w:t>Store at 2°C to 8°C</w:t>
      </w:r>
    </w:p>
    <w:p w14:paraId="74584294">
      <w:pPr>
        <w:tabs>
          <w:tab w:val="left" w:pos="360"/>
        </w:tabs>
        <w:rPr>
          <w:rFonts w:ascii="Arial" w:hAnsi="Arial" w:cs="Arial"/>
          <w:b/>
          <w:sz w:val="18"/>
          <w:szCs w:val="18"/>
        </w:rPr>
      </w:pPr>
    </w:p>
    <w:p w14:paraId="49335878">
      <w:pPr>
        <w:tabs>
          <w:tab w:val="left" w:pos="360"/>
        </w:tabs>
        <w:ind w:left="360"/>
        <w:jc w:val="both"/>
        <w:rPr>
          <w:rFonts w:ascii="Arial" w:hAnsi="Arial" w:cs="Arial"/>
          <w:bCs/>
          <w:sz w:val="18"/>
          <w:szCs w:val="18"/>
        </w:rPr>
      </w:pPr>
    </w:p>
    <w:p w14:paraId="51D5D4C6">
      <w:pPr>
        <w:tabs>
          <w:tab w:val="left" w:pos="360"/>
        </w:tabs>
        <w:ind w:left="360"/>
        <w:jc w:val="both"/>
        <w:rPr>
          <w:rFonts w:ascii="Arial" w:hAnsi="Arial" w:cs="Arial"/>
          <w:bCs/>
          <w:sz w:val="18"/>
          <w:szCs w:val="18"/>
        </w:rPr>
      </w:pPr>
      <w:r>
        <w:rPr>
          <w:rFonts w:ascii="Arial" w:hAnsi="Arial" w:cs="Arial"/>
          <w:bCs/>
          <w:sz w:val="18"/>
          <w:szCs w:val="18"/>
        </w:rPr>
        <w:t>INTENDED USE</w:t>
      </w:r>
    </w:p>
    <w:p w14:paraId="1350A053">
      <w:pPr>
        <w:tabs>
          <w:tab w:val="left" w:pos="360"/>
        </w:tabs>
        <w:ind w:left="360"/>
        <w:jc w:val="both"/>
        <w:rPr>
          <w:rFonts w:ascii="Arial" w:hAnsi="Arial" w:cs="Arial"/>
          <w:bCs/>
          <w:sz w:val="18"/>
          <w:szCs w:val="18"/>
        </w:rPr>
      </w:pPr>
      <w:r>
        <w:rPr>
          <w:rFonts w:ascii="Arial" w:hAnsi="Arial" w:cs="Arial"/>
          <w:bCs/>
          <w:sz w:val="18"/>
          <w:szCs w:val="18"/>
        </w:rPr>
        <w:t>HSV 1,2 IgG is intended for the Qualitative detection of IgG antibodies to herpes simplex virus (HSV) infection, or for evaluating paired sera for the presence of a significant increase in herpes specific IgG. For in Vitro Diagnostic Use Only.</w:t>
      </w:r>
    </w:p>
    <w:p w14:paraId="17235550">
      <w:pPr>
        <w:tabs>
          <w:tab w:val="left" w:pos="360"/>
        </w:tabs>
        <w:ind w:left="360"/>
        <w:jc w:val="both"/>
        <w:rPr>
          <w:rFonts w:ascii="Arial" w:hAnsi="Arial" w:cs="Arial"/>
          <w:bCs/>
          <w:sz w:val="18"/>
          <w:szCs w:val="18"/>
        </w:rPr>
      </w:pPr>
    </w:p>
    <w:p w14:paraId="418CAAA4">
      <w:pPr>
        <w:tabs>
          <w:tab w:val="left" w:pos="360"/>
        </w:tabs>
        <w:ind w:left="360"/>
        <w:jc w:val="both"/>
        <w:rPr>
          <w:rFonts w:ascii="Arial" w:hAnsi="Arial" w:cs="Arial"/>
          <w:bCs/>
          <w:sz w:val="18"/>
          <w:szCs w:val="18"/>
        </w:rPr>
      </w:pPr>
      <w:r>
        <w:rPr>
          <w:rFonts w:ascii="Arial" w:hAnsi="Arial" w:cs="Arial"/>
          <w:bCs/>
          <w:sz w:val="18"/>
          <w:szCs w:val="18"/>
        </w:rPr>
        <w:t>INTRODUCTION</w:t>
      </w:r>
    </w:p>
    <w:p w14:paraId="4C7B217B">
      <w:pPr>
        <w:tabs>
          <w:tab w:val="left" w:pos="360"/>
        </w:tabs>
        <w:ind w:left="360"/>
        <w:jc w:val="both"/>
        <w:rPr>
          <w:rFonts w:ascii="Arial" w:hAnsi="Arial" w:cs="Arial"/>
          <w:bCs/>
          <w:sz w:val="18"/>
          <w:szCs w:val="18"/>
        </w:rPr>
      </w:pPr>
      <w:r>
        <w:rPr>
          <w:rFonts w:ascii="Arial" w:hAnsi="Arial" w:cs="Arial"/>
          <w:bCs/>
          <w:sz w:val="18"/>
          <w:szCs w:val="18"/>
        </w:rPr>
        <w:t>Herpes Simplex Virus is a common pathogen and its primary infection is usually asymptomatic. There are two immunologically distinct types of HSV: Type 1 and Type 2. HSV 1 is generally associated with oral infection and lesions above the waist, and HSV 2 is associated with genital infections and lesions below the waist. Clinical cases primarily are 1) Eczema herpeticum with eczematous skin changes with numerous lesions, 2) Gingivo-stomatitis and 3) Herpes sepsis, almost only found in newly born premature infants. HSV 1,2 IgG is an accurate serologic method to detect HSV specific antibody in serum sample.</w:t>
      </w:r>
    </w:p>
    <w:p w14:paraId="2AC04599">
      <w:pPr>
        <w:tabs>
          <w:tab w:val="left" w:pos="360"/>
        </w:tabs>
        <w:ind w:left="360"/>
        <w:jc w:val="both"/>
        <w:rPr>
          <w:rFonts w:ascii="Arial" w:hAnsi="Arial" w:cs="Arial"/>
          <w:bCs/>
          <w:sz w:val="18"/>
          <w:szCs w:val="18"/>
        </w:rPr>
      </w:pPr>
    </w:p>
    <w:p w14:paraId="2D3AD739">
      <w:pPr>
        <w:tabs>
          <w:tab w:val="left" w:pos="360"/>
        </w:tabs>
        <w:ind w:left="360"/>
        <w:jc w:val="both"/>
        <w:rPr>
          <w:rFonts w:ascii="Arial" w:hAnsi="Arial" w:cs="Arial"/>
          <w:bCs/>
          <w:sz w:val="18"/>
          <w:szCs w:val="18"/>
        </w:rPr>
      </w:pPr>
      <w:r>
        <w:rPr>
          <w:rFonts w:ascii="Arial" w:hAnsi="Arial" w:cs="Arial"/>
          <w:bCs/>
          <w:sz w:val="18"/>
          <w:szCs w:val="18"/>
        </w:rPr>
        <w:t>PRINCIPLE OF THE ASSAY</w:t>
      </w:r>
    </w:p>
    <w:p w14:paraId="455F7AFA">
      <w:pPr>
        <w:tabs>
          <w:tab w:val="left" w:pos="360"/>
        </w:tabs>
        <w:ind w:left="360"/>
        <w:jc w:val="both"/>
        <w:rPr>
          <w:rFonts w:ascii="Arial" w:hAnsi="Arial" w:cs="Arial"/>
          <w:bCs/>
          <w:sz w:val="18"/>
          <w:szCs w:val="18"/>
        </w:rPr>
      </w:pPr>
      <w:r>
        <w:rPr>
          <w:rFonts w:ascii="Arial" w:hAnsi="Arial" w:cs="Arial"/>
          <w:bCs/>
          <w:sz w:val="18"/>
          <w:szCs w:val="18"/>
        </w:rPr>
        <w:t xml:space="preserve">Purified HSV antigen is coated on the surface of microwells.  Diluted patient serum is added to wells, and the HSV IgG specific antibody, if present, binds to the antigen.  All unbound materials are washed away. After adding enzyme conjugate, it binds to the antibody-antigen complex. Excess enzyme conjugate is washed off and TMB substrate is added. The enzyme conjugate catalytic reaction is stopped at a specific time and absorbance is determined for each well at 450nm and 630nm with an ELISA reader. The intensity of the color generated is proportional to the amount of IgG specific antibody in the sample. </w:t>
      </w:r>
    </w:p>
    <w:p w14:paraId="7AFD976B">
      <w:pPr>
        <w:tabs>
          <w:tab w:val="left" w:pos="360"/>
        </w:tabs>
        <w:ind w:left="360"/>
        <w:jc w:val="both"/>
        <w:rPr>
          <w:rFonts w:ascii="Arial" w:hAnsi="Arial" w:cs="Arial"/>
          <w:bCs/>
          <w:sz w:val="18"/>
          <w:szCs w:val="18"/>
        </w:rPr>
      </w:pPr>
    </w:p>
    <w:p w14:paraId="6DA6D276">
      <w:pPr>
        <w:tabs>
          <w:tab w:val="left" w:pos="360"/>
        </w:tabs>
        <w:ind w:left="360"/>
        <w:jc w:val="both"/>
        <w:rPr>
          <w:rFonts w:ascii="Arial" w:hAnsi="Arial" w:cs="Arial"/>
          <w:bCs/>
          <w:sz w:val="18"/>
          <w:szCs w:val="18"/>
        </w:rPr>
      </w:pPr>
      <w:r>
        <w:rPr>
          <w:rFonts w:ascii="Arial" w:hAnsi="Arial" w:cs="Arial"/>
          <w:bCs/>
          <w:sz w:val="18"/>
          <w:szCs w:val="18"/>
        </w:rPr>
        <w:t>MATERIALS AND COMPONENTS</w:t>
      </w:r>
    </w:p>
    <w:p w14:paraId="33E4FCF8">
      <w:pPr>
        <w:tabs>
          <w:tab w:val="left" w:pos="360"/>
        </w:tabs>
        <w:ind w:left="360"/>
        <w:jc w:val="both"/>
        <w:rPr>
          <w:rFonts w:ascii="Arial" w:hAnsi="Arial" w:cs="Arial"/>
          <w:bCs/>
          <w:sz w:val="18"/>
          <w:szCs w:val="18"/>
        </w:rPr>
      </w:pPr>
      <w:r>
        <w:rPr>
          <w:rFonts w:ascii="Arial" w:hAnsi="Arial" w:cs="Arial"/>
          <w:bCs/>
          <w:sz w:val="18"/>
          <w:szCs w:val="18"/>
        </w:rPr>
        <w:t>Materials provided with the test kit:</w:t>
      </w:r>
    </w:p>
    <w:p w14:paraId="72C9728F">
      <w:pPr>
        <w:pStyle w:val="13"/>
        <w:numPr>
          <w:ilvl w:val="0"/>
          <w:numId w:val="1"/>
        </w:numPr>
        <w:tabs>
          <w:tab w:val="left" w:pos="360"/>
        </w:tabs>
        <w:jc w:val="both"/>
        <w:rPr>
          <w:rFonts w:ascii="Arial" w:hAnsi="Arial" w:cs="Arial"/>
          <w:bCs/>
          <w:sz w:val="18"/>
          <w:szCs w:val="18"/>
        </w:rPr>
      </w:pPr>
      <w:r>
        <w:rPr>
          <w:rFonts w:ascii="Arial" w:hAnsi="Arial" w:cs="Arial"/>
          <w:bCs/>
          <w:sz w:val="18"/>
          <w:szCs w:val="18"/>
        </w:rPr>
        <w:t>Coated Microwells: Purified HSV 1,2 antigen coated wells.</w:t>
      </w:r>
    </w:p>
    <w:p w14:paraId="353CC831">
      <w:pPr>
        <w:pStyle w:val="13"/>
        <w:numPr>
          <w:ilvl w:val="0"/>
          <w:numId w:val="1"/>
        </w:numPr>
        <w:tabs>
          <w:tab w:val="left" w:pos="360"/>
        </w:tabs>
        <w:jc w:val="both"/>
        <w:rPr>
          <w:rFonts w:ascii="Arial" w:hAnsi="Arial" w:cs="Arial"/>
          <w:bCs/>
          <w:sz w:val="18"/>
          <w:szCs w:val="18"/>
        </w:rPr>
      </w:pPr>
      <w:r>
        <w:rPr>
          <w:rFonts w:ascii="Arial" w:hAnsi="Arial" w:cs="Arial"/>
          <w:bCs/>
          <w:sz w:val="18"/>
          <w:szCs w:val="18"/>
        </w:rPr>
        <w:t>Sample Diluent: Ready to use .</w:t>
      </w:r>
    </w:p>
    <w:p w14:paraId="77D8DD88">
      <w:pPr>
        <w:pStyle w:val="13"/>
        <w:numPr>
          <w:ilvl w:val="0"/>
          <w:numId w:val="1"/>
        </w:numPr>
        <w:tabs>
          <w:tab w:val="left" w:pos="360"/>
        </w:tabs>
        <w:jc w:val="both"/>
        <w:rPr>
          <w:rFonts w:ascii="Arial" w:hAnsi="Arial" w:cs="Arial"/>
          <w:bCs/>
          <w:sz w:val="18"/>
          <w:szCs w:val="18"/>
        </w:rPr>
      </w:pPr>
      <w:r>
        <w:rPr>
          <w:rFonts w:ascii="Arial" w:hAnsi="Arial" w:cs="Arial"/>
          <w:bCs/>
          <w:sz w:val="18"/>
          <w:szCs w:val="18"/>
        </w:rPr>
        <w:t>Negative Control:  Range stated on the label.</w:t>
      </w:r>
    </w:p>
    <w:p w14:paraId="55B7B386">
      <w:pPr>
        <w:pStyle w:val="13"/>
        <w:numPr>
          <w:ilvl w:val="0"/>
          <w:numId w:val="1"/>
        </w:numPr>
        <w:tabs>
          <w:tab w:val="left" w:pos="360"/>
        </w:tabs>
        <w:jc w:val="both"/>
        <w:rPr>
          <w:rFonts w:ascii="Arial" w:hAnsi="Arial" w:cs="Arial"/>
          <w:bCs/>
          <w:sz w:val="18"/>
          <w:szCs w:val="18"/>
        </w:rPr>
      </w:pPr>
      <w:r>
        <w:rPr>
          <w:rFonts w:ascii="Arial" w:hAnsi="Arial" w:cs="Arial"/>
          <w:bCs/>
          <w:sz w:val="18"/>
          <w:szCs w:val="18"/>
        </w:rPr>
        <w:t>Positive Control: Range stated on the label.</w:t>
      </w:r>
    </w:p>
    <w:p w14:paraId="036F051C">
      <w:pPr>
        <w:pStyle w:val="13"/>
        <w:numPr>
          <w:ilvl w:val="0"/>
          <w:numId w:val="1"/>
        </w:numPr>
        <w:tabs>
          <w:tab w:val="left" w:pos="360"/>
        </w:tabs>
        <w:jc w:val="both"/>
        <w:rPr>
          <w:rFonts w:ascii="Arial" w:hAnsi="Arial" w:cs="Arial"/>
          <w:bCs/>
          <w:sz w:val="18"/>
          <w:szCs w:val="18"/>
        </w:rPr>
      </w:pPr>
      <w:r>
        <w:rPr>
          <w:rFonts w:ascii="Arial" w:hAnsi="Arial" w:cs="Arial"/>
          <w:bCs/>
          <w:sz w:val="18"/>
          <w:szCs w:val="18"/>
        </w:rPr>
        <w:t>Calibrator.</w:t>
      </w:r>
    </w:p>
    <w:p w14:paraId="5523A616">
      <w:pPr>
        <w:pStyle w:val="13"/>
        <w:numPr>
          <w:ilvl w:val="0"/>
          <w:numId w:val="1"/>
        </w:numPr>
        <w:tabs>
          <w:tab w:val="left" w:pos="360"/>
        </w:tabs>
        <w:jc w:val="both"/>
        <w:rPr>
          <w:rFonts w:ascii="Arial" w:hAnsi="Arial" w:cs="Arial"/>
          <w:bCs/>
          <w:sz w:val="18"/>
          <w:szCs w:val="18"/>
        </w:rPr>
      </w:pPr>
      <w:r>
        <w:rPr>
          <w:rFonts w:ascii="Arial" w:hAnsi="Arial" w:cs="Arial"/>
          <w:bCs/>
          <w:sz w:val="18"/>
          <w:szCs w:val="18"/>
        </w:rPr>
        <w:t>Wash Buffer Concentrate (20X).</w:t>
      </w:r>
    </w:p>
    <w:p w14:paraId="53A78C8F">
      <w:pPr>
        <w:pStyle w:val="13"/>
        <w:numPr>
          <w:ilvl w:val="0"/>
          <w:numId w:val="1"/>
        </w:numPr>
        <w:tabs>
          <w:tab w:val="left" w:pos="360"/>
        </w:tabs>
        <w:jc w:val="both"/>
        <w:rPr>
          <w:rFonts w:ascii="Arial" w:hAnsi="Arial" w:cs="Arial"/>
          <w:bCs/>
          <w:sz w:val="18"/>
          <w:szCs w:val="18"/>
        </w:rPr>
      </w:pPr>
      <w:r>
        <w:rPr>
          <w:rFonts w:ascii="Arial" w:hAnsi="Arial" w:cs="Arial"/>
          <w:bCs/>
          <w:sz w:val="18"/>
          <w:szCs w:val="18"/>
        </w:rPr>
        <w:t>Enzyme Conjugate: Ready to use.</w:t>
      </w:r>
    </w:p>
    <w:p w14:paraId="5DC8195F">
      <w:pPr>
        <w:pStyle w:val="13"/>
        <w:numPr>
          <w:ilvl w:val="0"/>
          <w:numId w:val="1"/>
        </w:numPr>
        <w:tabs>
          <w:tab w:val="left" w:pos="360"/>
        </w:tabs>
        <w:jc w:val="both"/>
        <w:rPr>
          <w:rFonts w:ascii="Arial" w:hAnsi="Arial" w:cs="Arial"/>
          <w:bCs/>
          <w:sz w:val="18"/>
          <w:szCs w:val="18"/>
        </w:rPr>
      </w:pPr>
      <w:r>
        <w:rPr>
          <w:rFonts w:ascii="Arial" w:hAnsi="Arial" w:cs="Arial"/>
          <w:bCs/>
          <w:sz w:val="18"/>
          <w:szCs w:val="18"/>
        </w:rPr>
        <w:t>TMB Substrate: Ready to use</w:t>
      </w:r>
    </w:p>
    <w:p w14:paraId="60824007">
      <w:pPr>
        <w:pStyle w:val="13"/>
        <w:numPr>
          <w:ilvl w:val="0"/>
          <w:numId w:val="1"/>
        </w:numPr>
        <w:tabs>
          <w:tab w:val="left" w:pos="360"/>
        </w:tabs>
        <w:jc w:val="both"/>
        <w:rPr>
          <w:rFonts w:ascii="Arial" w:hAnsi="Arial" w:cs="Arial"/>
          <w:bCs/>
          <w:sz w:val="18"/>
          <w:szCs w:val="18"/>
        </w:rPr>
      </w:pPr>
      <w:r>
        <w:rPr>
          <w:rFonts w:ascii="Arial" w:hAnsi="Arial" w:cs="Arial"/>
          <w:bCs/>
          <w:sz w:val="18"/>
          <w:szCs w:val="18"/>
        </w:rPr>
        <w:t>Stop Solution: Ready to use.</w:t>
      </w:r>
    </w:p>
    <w:p w14:paraId="7FDF49AB">
      <w:pPr>
        <w:pStyle w:val="13"/>
        <w:numPr>
          <w:ilvl w:val="0"/>
          <w:numId w:val="1"/>
        </w:numPr>
        <w:tabs>
          <w:tab w:val="left" w:pos="360"/>
        </w:tabs>
        <w:jc w:val="both"/>
        <w:rPr>
          <w:rFonts w:ascii="Arial" w:hAnsi="Arial" w:cs="Arial"/>
          <w:bCs/>
          <w:sz w:val="18"/>
          <w:szCs w:val="18"/>
        </w:rPr>
      </w:pPr>
      <w:r>
        <w:rPr>
          <w:rFonts w:ascii="Arial" w:hAnsi="Arial" w:cs="Arial"/>
          <w:bCs/>
          <w:sz w:val="18"/>
          <w:szCs w:val="18"/>
        </w:rPr>
        <w:t>Pack Insert.</w:t>
      </w:r>
    </w:p>
    <w:p w14:paraId="341A325D">
      <w:pPr>
        <w:pStyle w:val="13"/>
        <w:numPr>
          <w:ilvl w:val="0"/>
          <w:numId w:val="1"/>
        </w:numPr>
        <w:tabs>
          <w:tab w:val="left" w:pos="360"/>
        </w:tabs>
        <w:jc w:val="both"/>
        <w:rPr>
          <w:rFonts w:ascii="Arial" w:hAnsi="Arial" w:cs="Arial"/>
          <w:bCs/>
          <w:sz w:val="18"/>
          <w:szCs w:val="18"/>
        </w:rPr>
      </w:pPr>
      <w:r>
        <w:rPr>
          <w:rFonts w:ascii="Arial" w:hAnsi="Arial" w:cs="Arial"/>
          <w:bCs/>
          <w:sz w:val="18"/>
          <w:szCs w:val="18"/>
        </w:rPr>
        <w:t>Plate Sealers.</w:t>
      </w:r>
    </w:p>
    <w:p w14:paraId="6C0ADC65">
      <w:pPr>
        <w:pStyle w:val="13"/>
        <w:numPr>
          <w:ilvl w:val="0"/>
          <w:numId w:val="1"/>
        </w:numPr>
        <w:tabs>
          <w:tab w:val="left" w:pos="360"/>
        </w:tabs>
        <w:jc w:val="both"/>
        <w:rPr>
          <w:rFonts w:ascii="Arial" w:hAnsi="Arial" w:cs="Arial"/>
          <w:bCs/>
          <w:sz w:val="18"/>
          <w:szCs w:val="18"/>
        </w:rPr>
      </w:pPr>
      <w:r>
        <w:rPr>
          <w:rFonts w:ascii="Arial" w:hAnsi="Arial" w:cs="Arial"/>
          <w:bCs/>
          <w:sz w:val="18"/>
          <w:szCs w:val="18"/>
        </w:rPr>
        <w:t>Protocol Sheet.</w:t>
      </w:r>
    </w:p>
    <w:p w14:paraId="77B5FAE3">
      <w:pPr>
        <w:pStyle w:val="13"/>
        <w:numPr>
          <w:ilvl w:val="0"/>
          <w:numId w:val="1"/>
        </w:numPr>
        <w:tabs>
          <w:tab w:val="left" w:pos="360"/>
        </w:tabs>
        <w:jc w:val="both"/>
        <w:rPr>
          <w:rFonts w:ascii="Arial" w:hAnsi="Arial" w:cs="Arial"/>
          <w:bCs/>
          <w:sz w:val="18"/>
          <w:szCs w:val="18"/>
        </w:rPr>
      </w:pPr>
      <w:r>
        <w:rPr>
          <w:rFonts w:ascii="Arial" w:hAnsi="Arial" w:cs="Arial"/>
          <w:bCs/>
          <w:sz w:val="18"/>
          <w:szCs w:val="18"/>
        </w:rPr>
        <w:t>Microwell Holder.</w:t>
      </w:r>
    </w:p>
    <w:p w14:paraId="295539DB">
      <w:pPr>
        <w:tabs>
          <w:tab w:val="left" w:pos="360"/>
        </w:tabs>
        <w:ind w:left="360"/>
        <w:jc w:val="both"/>
        <w:rPr>
          <w:rFonts w:ascii="Arial" w:hAnsi="Arial" w:cs="Arial"/>
          <w:bCs/>
          <w:sz w:val="18"/>
          <w:szCs w:val="18"/>
        </w:rPr>
      </w:pPr>
    </w:p>
    <w:p w14:paraId="1B66BB65">
      <w:pPr>
        <w:tabs>
          <w:tab w:val="left" w:pos="360"/>
        </w:tabs>
        <w:ind w:left="360"/>
        <w:jc w:val="both"/>
        <w:rPr>
          <w:rFonts w:ascii="Arial" w:hAnsi="Arial" w:cs="Arial"/>
          <w:bCs/>
          <w:sz w:val="18"/>
          <w:szCs w:val="18"/>
        </w:rPr>
      </w:pPr>
      <w:r>
        <w:rPr>
          <w:rFonts w:ascii="Arial" w:hAnsi="Arial" w:cs="Arial"/>
          <w:bCs/>
          <w:sz w:val="18"/>
          <w:szCs w:val="18"/>
        </w:rPr>
        <w:t>Materials required but not provided</w:t>
      </w:r>
    </w:p>
    <w:p w14:paraId="4F2FDEF1">
      <w:pPr>
        <w:pStyle w:val="13"/>
        <w:numPr>
          <w:ilvl w:val="0"/>
          <w:numId w:val="2"/>
        </w:numPr>
        <w:tabs>
          <w:tab w:val="left" w:pos="360"/>
        </w:tabs>
        <w:jc w:val="both"/>
        <w:rPr>
          <w:rFonts w:ascii="Arial" w:hAnsi="Arial" w:cs="Arial"/>
          <w:bCs/>
          <w:sz w:val="18"/>
          <w:szCs w:val="18"/>
        </w:rPr>
      </w:pPr>
      <w:r>
        <w:rPr>
          <w:rFonts w:ascii="Arial" w:hAnsi="Arial" w:cs="Arial"/>
          <w:bCs/>
          <w:sz w:val="18"/>
          <w:szCs w:val="18"/>
        </w:rPr>
        <w:t>Precision pipettes: 10µl, 20-200µl, 100-1000µl</w:t>
      </w:r>
    </w:p>
    <w:p w14:paraId="7A88A7CD">
      <w:pPr>
        <w:pStyle w:val="13"/>
        <w:numPr>
          <w:ilvl w:val="0"/>
          <w:numId w:val="2"/>
        </w:numPr>
        <w:tabs>
          <w:tab w:val="left" w:pos="360"/>
        </w:tabs>
        <w:jc w:val="both"/>
        <w:rPr>
          <w:rFonts w:ascii="Arial" w:hAnsi="Arial" w:cs="Arial"/>
          <w:bCs/>
          <w:sz w:val="18"/>
          <w:szCs w:val="18"/>
        </w:rPr>
      </w:pPr>
      <w:r>
        <w:rPr>
          <w:rFonts w:ascii="Arial" w:hAnsi="Arial" w:cs="Arial"/>
          <w:bCs/>
          <w:sz w:val="18"/>
          <w:szCs w:val="18"/>
        </w:rPr>
        <w:t>Disposable pipette tips</w:t>
      </w:r>
    </w:p>
    <w:p w14:paraId="679A6506">
      <w:pPr>
        <w:pStyle w:val="13"/>
        <w:numPr>
          <w:ilvl w:val="0"/>
          <w:numId w:val="2"/>
        </w:numPr>
        <w:tabs>
          <w:tab w:val="left" w:pos="360"/>
        </w:tabs>
        <w:jc w:val="both"/>
        <w:rPr>
          <w:rFonts w:ascii="Arial" w:hAnsi="Arial" w:cs="Arial"/>
          <w:bCs/>
          <w:sz w:val="18"/>
          <w:szCs w:val="18"/>
        </w:rPr>
      </w:pPr>
      <w:r>
        <w:rPr>
          <w:rFonts w:ascii="Arial" w:hAnsi="Arial" w:cs="Arial"/>
          <w:bCs/>
          <w:sz w:val="18"/>
          <w:szCs w:val="18"/>
        </w:rPr>
        <w:t>Distilled water</w:t>
      </w:r>
    </w:p>
    <w:p w14:paraId="29227345">
      <w:pPr>
        <w:pStyle w:val="13"/>
        <w:numPr>
          <w:ilvl w:val="0"/>
          <w:numId w:val="2"/>
        </w:numPr>
        <w:tabs>
          <w:tab w:val="left" w:pos="360"/>
        </w:tabs>
        <w:jc w:val="both"/>
        <w:rPr>
          <w:rFonts w:ascii="Arial" w:hAnsi="Arial" w:cs="Arial"/>
          <w:bCs/>
          <w:sz w:val="18"/>
          <w:szCs w:val="18"/>
        </w:rPr>
      </w:pPr>
      <w:r>
        <w:rPr>
          <w:rFonts w:ascii="Arial" w:hAnsi="Arial" w:cs="Arial"/>
          <w:bCs/>
          <w:sz w:val="18"/>
          <w:szCs w:val="18"/>
        </w:rPr>
        <w:t>Disposable Gloves</w:t>
      </w:r>
    </w:p>
    <w:p w14:paraId="29ACDA9C">
      <w:pPr>
        <w:pStyle w:val="13"/>
        <w:numPr>
          <w:ilvl w:val="0"/>
          <w:numId w:val="2"/>
        </w:numPr>
        <w:tabs>
          <w:tab w:val="left" w:pos="360"/>
        </w:tabs>
        <w:jc w:val="both"/>
        <w:rPr>
          <w:rFonts w:ascii="Arial" w:hAnsi="Arial" w:cs="Arial"/>
          <w:bCs/>
          <w:sz w:val="18"/>
          <w:szCs w:val="18"/>
        </w:rPr>
      </w:pPr>
      <w:r>
        <w:rPr>
          <w:rFonts w:ascii="Arial" w:hAnsi="Arial" w:cs="Arial"/>
          <w:bCs/>
          <w:sz w:val="18"/>
          <w:szCs w:val="18"/>
        </w:rPr>
        <w:t>ELISA reader</w:t>
      </w:r>
    </w:p>
    <w:p w14:paraId="674B6384">
      <w:pPr>
        <w:pStyle w:val="13"/>
        <w:numPr>
          <w:ilvl w:val="0"/>
          <w:numId w:val="2"/>
        </w:numPr>
        <w:tabs>
          <w:tab w:val="left" w:pos="360"/>
        </w:tabs>
        <w:jc w:val="both"/>
        <w:rPr>
          <w:rFonts w:ascii="Arial" w:hAnsi="Arial" w:cs="Arial"/>
          <w:bCs/>
          <w:sz w:val="18"/>
          <w:szCs w:val="18"/>
        </w:rPr>
      </w:pPr>
      <w:r>
        <w:rPr>
          <w:rFonts w:ascii="Arial" w:hAnsi="Arial" w:cs="Arial"/>
          <w:bCs/>
          <w:sz w:val="18"/>
          <w:szCs w:val="18"/>
        </w:rPr>
        <w:t>ELISA washer</w:t>
      </w:r>
    </w:p>
    <w:p w14:paraId="5235BEC8">
      <w:pPr>
        <w:tabs>
          <w:tab w:val="left" w:pos="360"/>
        </w:tabs>
        <w:ind w:left="360"/>
        <w:jc w:val="both"/>
        <w:rPr>
          <w:rFonts w:ascii="Arial" w:hAnsi="Arial" w:cs="Arial"/>
          <w:bCs/>
          <w:sz w:val="18"/>
          <w:szCs w:val="18"/>
        </w:rPr>
      </w:pPr>
    </w:p>
    <w:p w14:paraId="72E4D3D9">
      <w:pPr>
        <w:tabs>
          <w:tab w:val="left" w:pos="360"/>
        </w:tabs>
        <w:ind w:left="360"/>
        <w:jc w:val="both"/>
        <w:rPr>
          <w:rFonts w:ascii="Arial" w:hAnsi="Arial" w:cs="Arial"/>
          <w:bCs/>
          <w:sz w:val="18"/>
          <w:szCs w:val="18"/>
        </w:rPr>
      </w:pPr>
      <w:r>
        <w:rPr>
          <w:rFonts w:ascii="Arial" w:hAnsi="Arial" w:cs="Arial"/>
          <w:bCs/>
          <w:sz w:val="18"/>
          <w:szCs w:val="18"/>
        </w:rPr>
        <w:t>STORAGE AND STABILITY</w:t>
      </w:r>
    </w:p>
    <w:p w14:paraId="4FA019D3">
      <w:pPr>
        <w:pStyle w:val="13"/>
        <w:numPr>
          <w:ilvl w:val="0"/>
          <w:numId w:val="3"/>
        </w:numPr>
        <w:tabs>
          <w:tab w:val="left" w:pos="360"/>
        </w:tabs>
        <w:jc w:val="both"/>
        <w:rPr>
          <w:rFonts w:ascii="Arial" w:hAnsi="Arial" w:cs="Arial"/>
          <w:bCs/>
          <w:sz w:val="18"/>
          <w:szCs w:val="18"/>
        </w:rPr>
      </w:pPr>
      <w:r>
        <w:rPr>
          <w:rFonts w:ascii="Arial" w:hAnsi="Arial" w:cs="Arial"/>
          <w:bCs/>
          <w:sz w:val="18"/>
          <w:szCs w:val="18"/>
        </w:rPr>
        <w:t>HSV 1,2 IgG kit is stable at 2-8°C up to expiry date printed on the label.</w:t>
      </w:r>
    </w:p>
    <w:p w14:paraId="4C0BA65E">
      <w:pPr>
        <w:pStyle w:val="13"/>
        <w:numPr>
          <w:ilvl w:val="0"/>
          <w:numId w:val="3"/>
        </w:numPr>
        <w:tabs>
          <w:tab w:val="left" w:pos="360"/>
        </w:tabs>
        <w:jc w:val="both"/>
        <w:rPr>
          <w:rFonts w:ascii="Arial" w:hAnsi="Arial" w:cs="Arial"/>
          <w:bCs/>
          <w:sz w:val="18"/>
          <w:szCs w:val="18"/>
        </w:rPr>
      </w:pPr>
      <w:r>
        <w:rPr>
          <w:rFonts w:ascii="Arial" w:hAnsi="Arial" w:cs="Arial"/>
          <w:bCs/>
          <w:sz w:val="18"/>
          <w:szCs w:val="18"/>
        </w:rPr>
        <w:t>Coated Microwells should be used within one month upon opening the pouch provided that once opened, the pouch must be resealed to protect from moisture. If the colour of the desiccant has changed from blue to pink at the time of opening the pouch, another coated Microwells pouch should be used.</w:t>
      </w:r>
    </w:p>
    <w:p w14:paraId="75FA4182">
      <w:pPr>
        <w:pStyle w:val="13"/>
        <w:numPr>
          <w:ilvl w:val="0"/>
          <w:numId w:val="3"/>
        </w:numPr>
        <w:tabs>
          <w:tab w:val="left" w:pos="360"/>
        </w:tabs>
        <w:jc w:val="both"/>
        <w:rPr>
          <w:rFonts w:ascii="Arial" w:hAnsi="Arial" w:cs="Arial"/>
          <w:bCs/>
          <w:sz w:val="18"/>
          <w:szCs w:val="18"/>
        </w:rPr>
      </w:pPr>
      <w:r>
        <w:rPr>
          <w:rFonts w:ascii="Arial" w:hAnsi="Arial" w:cs="Arial"/>
          <w:bCs/>
          <w:sz w:val="18"/>
          <w:szCs w:val="18"/>
        </w:rPr>
        <w:t>Diluted Wash Buffer is stable for up to one week when stored at 2-8°C.</w:t>
      </w:r>
    </w:p>
    <w:p w14:paraId="1CAFFE82">
      <w:pPr>
        <w:tabs>
          <w:tab w:val="left" w:pos="360"/>
        </w:tabs>
        <w:ind w:left="360"/>
        <w:jc w:val="both"/>
        <w:rPr>
          <w:rFonts w:ascii="Arial" w:hAnsi="Arial" w:cs="Arial"/>
          <w:bCs/>
          <w:sz w:val="18"/>
          <w:szCs w:val="18"/>
        </w:rPr>
      </w:pPr>
    </w:p>
    <w:p w14:paraId="26C37275">
      <w:pPr>
        <w:tabs>
          <w:tab w:val="left" w:pos="360"/>
        </w:tabs>
        <w:ind w:left="360"/>
        <w:jc w:val="both"/>
        <w:rPr>
          <w:rFonts w:ascii="Arial" w:hAnsi="Arial" w:cs="Arial"/>
          <w:bCs/>
          <w:sz w:val="18"/>
          <w:szCs w:val="18"/>
        </w:rPr>
      </w:pPr>
      <w:r>
        <w:rPr>
          <w:rFonts w:ascii="Arial" w:hAnsi="Arial" w:cs="Arial"/>
          <w:bCs/>
          <w:sz w:val="18"/>
          <w:szCs w:val="18"/>
        </w:rPr>
        <w:t>SPECIMEN COLLECTION &amp; PREPARATION</w:t>
      </w:r>
    </w:p>
    <w:p w14:paraId="330AB2F1">
      <w:pPr>
        <w:pStyle w:val="13"/>
        <w:numPr>
          <w:ilvl w:val="0"/>
          <w:numId w:val="4"/>
        </w:numPr>
        <w:tabs>
          <w:tab w:val="left" w:pos="360"/>
        </w:tabs>
        <w:jc w:val="both"/>
        <w:rPr>
          <w:rFonts w:ascii="Arial" w:hAnsi="Arial" w:cs="Arial"/>
          <w:bCs/>
          <w:sz w:val="18"/>
          <w:szCs w:val="18"/>
        </w:rPr>
      </w:pPr>
      <w:r>
        <w:rPr>
          <w:rFonts w:ascii="Arial" w:hAnsi="Arial" w:cs="Arial"/>
          <w:bCs/>
          <w:sz w:val="18"/>
          <w:szCs w:val="18"/>
        </w:rPr>
        <w:t>Collect Blood specimen by venipuncture according to standard procedure.</w:t>
      </w:r>
    </w:p>
    <w:p w14:paraId="3C7FA97C">
      <w:pPr>
        <w:pStyle w:val="13"/>
        <w:numPr>
          <w:ilvl w:val="0"/>
          <w:numId w:val="4"/>
        </w:numPr>
        <w:tabs>
          <w:tab w:val="left" w:pos="360"/>
        </w:tabs>
        <w:jc w:val="both"/>
        <w:rPr>
          <w:rFonts w:ascii="Arial" w:hAnsi="Arial" w:cs="Arial"/>
          <w:bCs/>
          <w:sz w:val="18"/>
          <w:szCs w:val="18"/>
        </w:rPr>
      </w:pPr>
      <w:r>
        <w:rPr>
          <w:rFonts w:ascii="Arial" w:hAnsi="Arial" w:cs="Arial"/>
          <w:bCs/>
          <w:sz w:val="18"/>
          <w:szCs w:val="18"/>
        </w:rPr>
        <w:t>Only serum should be used.</w:t>
      </w:r>
    </w:p>
    <w:p w14:paraId="0895BD09">
      <w:pPr>
        <w:pStyle w:val="13"/>
        <w:numPr>
          <w:ilvl w:val="0"/>
          <w:numId w:val="4"/>
        </w:numPr>
        <w:tabs>
          <w:tab w:val="left" w:pos="360"/>
        </w:tabs>
        <w:jc w:val="both"/>
        <w:rPr>
          <w:rFonts w:ascii="Arial" w:hAnsi="Arial" w:cs="Arial"/>
          <w:bCs/>
          <w:sz w:val="18"/>
          <w:szCs w:val="18"/>
        </w:rPr>
      </w:pPr>
      <w:r>
        <w:rPr>
          <w:rFonts w:ascii="Arial" w:hAnsi="Arial" w:cs="Arial"/>
          <w:bCs/>
          <w:sz w:val="18"/>
          <w:szCs w:val="18"/>
        </w:rPr>
        <w:t xml:space="preserve">Avoid grossly hemolytic, lipemic or turbid samples. </w:t>
      </w:r>
    </w:p>
    <w:p w14:paraId="7381C494">
      <w:pPr>
        <w:pStyle w:val="13"/>
        <w:numPr>
          <w:ilvl w:val="0"/>
          <w:numId w:val="4"/>
        </w:numPr>
        <w:tabs>
          <w:tab w:val="left" w:pos="360"/>
        </w:tabs>
        <w:jc w:val="both"/>
        <w:rPr>
          <w:rFonts w:ascii="Arial" w:hAnsi="Arial" w:cs="Arial"/>
          <w:bCs/>
          <w:sz w:val="18"/>
          <w:szCs w:val="18"/>
        </w:rPr>
      </w:pPr>
      <w:r>
        <w:rPr>
          <w:rFonts w:ascii="Arial" w:hAnsi="Arial" w:cs="Arial"/>
          <w:bCs/>
          <w:sz w:val="18"/>
          <w:szCs w:val="18"/>
        </w:rPr>
        <w:t xml:space="preserve">Preferably use fresh samples. However specimens can be stored up to 48 hours at 2-8°C, for short duration. </w:t>
      </w:r>
    </w:p>
    <w:p w14:paraId="545F5873">
      <w:pPr>
        <w:pStyle w:val="13"/>
        <w:numPr>
          <w:ilvl w:val="0"/>
          <w:numId w:val="4"/>
        </w:numPr>
        <w:tabs>
          <w:tab w:val="left" w:pos="360"/>
        </w:tabs>
        <w:jc w:val="both"/>
        <w:rPr>
          <w:rFonts w:ascii="Arial" w:hAnsi="Arial" w:cs="Arial"/>
          <w:bCs/>
          <w:sz w:val="18"/>
          <w:szCs w:val="18"/>
        </w:rPr>
      </w:pPr>
      <w:r>
        <w:rPr>
          <w:rFonts w:ascii="Arial" w:hAnsi="Arial" w:cs="Arial"/>
          <w:bCs/>
          <w:sz w:val="18"/>
          <w:szCs w:val="18"/>
        </w:rPr>
        <w:t>For longer storage, specimens can be frozen at -20°C. Thawed samples must be mixed prior to testing.</w:t>
      </w:r>
    </w:p>
    <w:p w14:paraId="68D12930">
      <w:pPr>
        <w:pStyle w:val="13"/>
        <w:numPr>
          <w:ilvl w:val="0"/>
          <w:numId w:val="4"/>
        </w:numPr>
        <w:tabs>
          <w:tab w:val="left" w:pos="360"/>
        </w:tabs>
        <w:jc w:val="both"/>
        <w:rPr>
          <w:rFonts w:ascii="Arial" w:hAnsi="Arial" w:cs="Arial"/>
          <w:bCs/>
          <w:sz w:val="18"/>
          <w:szCs w:val="18"/>
        </w:rPr>
      </w:pPr>
      <w:r>
        <w:rPr>
          <w:rFonts w:ascii="Arial" w:hAnsi="Arial" w:cs="Arial"/>
          <w:bCs/>
          <w:sz w:val="18"/>
          <w:szCs w:val="18"/>
        </w:rPr>
        <w:t>Do not heat inactivate before use.</w:t>
      </w:r>
    </w:p>
    <w:p w14:paraId="3B26087B">
      <w:pPr>
        <w:pStyle w:val="13"/>
        <w:numPr>
          <w:ilvl w:val="0"/>
          <w:numId w:val="4"/>
        </w:numPr>
        <w:tabs>
          <w:tab w:val="left" w:pos="360"/>
        </w:tabs>
        <w:jc w:val="both"/>
        <w:rPr>
          <w:rFonts w:ascii="Arial" w:hAnsi="Arial" w:cs="Arial"/>
          <w:bCs/>
          <w:sz w:val="18"/>
          <w:szCs w:val="18"/>
        </w:rPr>
      </w:pPr>
      <w:r>
        <w:rPr>
          <w:rFonts w:ascii="Arial" w:hAnsi="Arial" w:cs="Arial"/>
          <w:bCs/>
          <w:sz w:val="18"/>
          <w:szCs w:val="18"/>
        </w:rPr>
        <w:t>Specimen containing precipitate or particulate matter should be clarified by centrifugation prior to use.</w:t>
      </w:r>
    </w:p>
    <w:p w14:paraId="3D201BB1">
      <w:pPr>
        <w:pStyle w:val="13"/>
        <w:numPr>
          <w:ilvl w:val="0"/>
          <w:numId w:val="4"/>
        </w:numPr>
        <w:tabs>
          <w:tab w:val="left" w:pos="360"/>
        </w:tabs>
        <w:jc w:val="both"/>
        <w:rPr>
          <w:rFonts w:ascii="Arial" w:hAnsi="Arial" w:cs="Arial"/>
          <w:bCs/>
          <w:sz w:val="18"/>
          <w:szCs w:val="18"/>
        </w:rPr>
      </w:pPr>
      <w:r>
        <w:rPr>
          <w:rFonts w:ascii="Arial" w:hAnsi="Arial" w:cs="Arial"/>
          <w:bCs/>
          <w:sz w:val="18"/>
          <w:szCs w:val="18"/>
        </w:rPr>
        <w:t>Specimen should be free from particulate matter and microbial contamination.</w:t>
      </w:r>
    </w:p>
    <w:p w14:paraId="13D33A4F">
      <w:pPr>
        <w:tabs>
          <w:tab w:val="left" w:pos="360"/>
        </w:tabs>
        <w:ind w:left="360"/>
        <w:jc w:val="both"/>
        <w:rPr>
          <w:rFonts w:ascii="Arial" w:hAnsi="Arial" w:cs="Arial"/>
          <w:bCs/>
          <w:sz w:val="18"/>
          <w:szCs w:val="18"/>
        </w:rPr>
      </w:pPr>
    </w:p>
    <w:p w14:paraId="2970967B">
      <w:pPr>
        <w:tabs>
          <w:tab w:val="left" w:pos="360"/>
        </w:tabs>
        <w:ind w:left="360"/>
        <w:jc w:val="both"/>
        <w:rPr>
          <w:rFonts w:ascii="Arial" w:hAnsi="Arial" w:cs="Arial"/>
          <w:bCs/>
          <w:sz w:val="18"/>
          <w:szCs w:val="18"/>
        </w:rPr>
      </w:pPr>
      <w:r>
        <w:rPr>
          <w:rFonts w:ascii="Arial" w:hAnsi="Arial" w:cs="Arial"/>
          <w:bCs/>
          <w:sz w:val="18"/>
          <w:szCs w:val="18"/>
        </w:rPr>
        <w:t>PRECAUTIONS</w:t>
      </w:r>
    </w:p>
    <w:p w14:paraId="5F49C5D9">
      <w:pPr>
        <w:pStyle w:val="13"/>
        <w:numPr>
          <w:ilvl w:val="0"/>
          <w:numId w:val="5"/>
        </w:numPr>
        <w:tabs>
          <w:tab w:val="left" w:pos="360"/>
        </w:tabs>
        <w:jc w:val="both"/>
        <w:rPr>
          <w:rFonts w:ascii="Arial" w:hAnsi="Arial" w:cs="Arial"/>
          <w:bCs/>
          <w:sz w:val="18"/>
          <w:szCs w:val="18"/>
        </w:rPr>
      </w:pPr>
      <w:r>
        <w:rPr>
          <w:rFonts w:ascii="Arial" w:hAnsi="Arial" w:cs="Arial"/>
          <w:bCs/>
          <w:sz w:val="18"/>
          <w:szCs w:val="18"/>
        </w:rPr>
        <w:t xml:space="preserve">Bring all reagents and specimen to room temperature before use. </w:t>
      </w:r>
    </w:p>
    <w:p w14:paraId="2C37F584">
      <w:pPr>
        <w:pStyle w:val="13"/>
        <w:numPr>
          <w:ilvl w:val="0"/>
          <w:numId w:val="5"/>
        </w:numPr>
        <w:tabs>
          <w:tab w:val="left" w:pos="360"/>
        </w:tabs>
        <w:jc w:val="both"/>
        <w:rPr>
          <w:rFonts w:ascii="Arial" w:hAnsi="Arial" w:cs="Arial"/>
          <w:bCs/>
          <w:sz w:val="18"/>
          <w:szCs w:val="18"/>
        </w:rPr>
      </w:pPr>
      <w:r>
        <w:rPr>
          <w:rFonts w:ascii="Arial" w:hAnsi="Arial" w:cs="Arial"/>
          <w:bCs/>
          <w:sz w:val="18"/>
          <w:szCs w:val="18"/>
        </w:rPr>
        <w:t xml:space="preserve">Do not pipette any material by mouth. </w:t>
      </w:r>
    </w:p>
    <w:p w14:paraId="79D2A111">
      <w:pPr>
        <w:pStyle w:val="13"/>
        <w:numPr>
          <w:ilvl w:val="0"/>
          <w:numId w:val="5"/>
        </w:numPr>
        <w:tabs>
          <w:tab w:val="left" w:pos="360"/>
        </w:tabs>
        <w:jc w:val="both"/>
        <w:rPr>
          <w:rFonts w:ascii="Arial" w:hAnsi="Arial" w:cs="Arial"/>
          <w:bCs/>
          <w:sz w:val="18"/>
          <w:szCs w:val="18"/>
        </w:rPr>
      </w:pPr>
      <w:r>
        <w:rPr>
          <w:rFonts w:ascii="Arial" w:hAnsi="Arial" w:cs="Arial"/>
          <w:bCs/>
          <w:sz w:val="18"/>
          <w:szCs w:val="18"/>
        </w:rPr>
        <w:t xml:space="preserve">Do not eat, drink or smoke in the area where testing is done. </w:t>
      </w:r>
    </w:p>
    <w:p w14:paraId="2079FA65">
      <w:pPr>
        <w:pStyle w:val="13"/>
        <w:numPr>
          <w:ilvl w:val="0"/>
          <w:numId w:val="5"/>
        </w:numPr>
        <w:tabs>
          <w:tab w:val="left" w:pos="360"/>
        </w:tabs>
        <w:jc w:val="both"/>
        <w:rPr>
          <w:rFonts w:ascii="Arial" w:hAnsi="Arial" w:cs="Arial"/>
          <w:bCs/>
          <w:sz w:val="18"/>
          <w:szCs w:val="18"/>
        </w:rPr>
      </w:pPr>
      <w:r>
        <w:rPr>
          <w:rFonts w:ascii="Arial" w:hAnsi="Arial" w:cs="Arial"/>
          <w:bCs/>
          <w:sz w:val="18"/>
          <w:szCs w:val="18"/>
        </w:rPr>
        <w:t xml:space="preserve">Use protective clothing and wear gloves when handling samples. </w:t>
      </w:r>
    </w:p>
    <w:p w14:paraId="0287B9DB">
      <w:pPr>
        <w:pStyle w:val="13"/>
        <w:numPr>
          <w:ilvl w:val="0"/>
          <w:numId w:val="5"/>
        </w:numPr>
        <w:tabs>
          <w:tab w:val="left" w:pos="360"/>
        </w:tabs>
        <w:jc w:val="both"/>
        <w:rPr>
          <w:rFonts w:ascii="Arial" w:hAnsi="Arial" w:cs="Arial"/>
          <w:bCs/>
          <w:sz w:val="18"/>
          <w:szCs w:val="18"/>
        </w:rPr>
      </w:pPr>
      <w:r>
        <w:rPr>
          <w:rFonts w:ascii="Arial" w:hAnsi="Arial" w:cs="Arial"/>
          <w:bCs/>
          <w:sz w:val="18"/>
          <w:szCs w:val="18"/>
        </w:rPr>
        <w:t xml:space="preserve">Use absorbent sheet to cover the working area. </w:t>
      </w:r>
    </w:p>
    <w:p w14:paraId="2BF1ACC6">
      <w:pPr>
        <w:pStyle w:val="13"/>
        <w:numPr>
          <w:ilvl w:val="0"/>
          <w:numId w:val="5"/>
        </w:numPr>
        <w:tabs>
          <w:tab w:val="left" w:pos="360"/>
        </w:tabs>
        <w:jc w:val="both"/>
        <w:rPr>
          <w:rFonts w:ascii="Arial" w:hAnsi="Arial" w:cs="Arial"/>
          <w:bCs/>
          <w:sz w:val="18"/>
          <w:szCs w:val="18"/>
        </w:rPr>
      </w:pPr>
      <w:r>
        <w:rPr>
          <w:rFonts w:ascii="Arial" w:hAnsi="Arial" w:cs="Arial"/>
          <w:bCs/>
          <w:sz w:val="18"/>
          <w:szCs w:val="18"/>
        </w:rPr>
        <w:t>Immediately clean up any spills with sodium hypochlorite.</w:t>
      </w:r>
    </w:p>
    <w:p w14:paraId="717DF3D5">
      <w:pPr>
        <w:pStyle w:val="13"/>
        <w:numPr>
          <w:ilvl w:val="0"/>
          <w:numId w:val="5"/>
        </w:numPr>
        <w:tabs>
          <w:tab w:val="left" w:pos="360"/>
        </w:tabs>
        <w:jc w:val="both"/>
        <w:rPr>
          <w:rFonts w:ascii="Arial" w:hAnsi="Arial" w:cs="Arial"/>
          <w:bCs/>
          <w:sz w:val="18"/>
          <w:szCs w:val="18"/>
        </w:rPr>
      </w:pPr>
      <w:r>
        <w:rPr>
          <w:rFonts w:ascii="Arial" w:hAnsi="Arial" w:cs="Arial"/>
          <w:bCs/>
          <w:sz w:val="18"/>
          <w:szCs w:val="18"/>
        </w:rPr>
        <w:t xml:space="preserve">All specimens and controls should be considered potentially infectious and discarded appropriately. </w:t>
      </w:r>
    </w:p>
    <w:p w14:paraId="0800234D">
      <w:pPr>
        <w:pStyle w:val="13"/>
        <w:numPr>
          <w:ilvl w:val="0"/>
          <w:numId w:val="5"/>
        </w:numPr>
        <w:tabs>
          <w:tab w:val="left" w:pos="360"/>
        </w:tabs>
        <w:jc w:val="both"/>
        <w:rPr>
          <w:rFonts w:ascii="Arial" w:hAnsi="Arial" w:cs="Arial"/>
          <w:bCs/>
          <w:sz w:val="18"/>
          <w:szCs w:val="18"/>
        </w:rPr>
      </w:pPr>
      <w:r>
        <w:rPr>
          <w:rFonts w:ascii="Arial" w:hAnsi="Arial" w:cs="Arial"/>
          <w:bCs/>
          <w:sz w:val="18"/>
          <w:szCs w:val="18"/>
        </w:rPr>
        <w:t xml:space="preserve">Neutralize acid containing waste before adding hypochlorite. </w:t>
      </w:r>
    </w:p>
    <w:p w14:paraId="0856EA43">
      <w:pPr>
        <w:pStyle w:val="13"/>
        <w:numPr>
          <w:ilvl w:val="0"/>
          <w:numId w:val="5"/>
        </w:numPr>
        <w:tabs>
          <w:tab w:val="left" w:pos="360"/>
        </w:tabs>
        <w:jc w:val="both"/>
        <w:rPr>
          <w:rFonts w:ascii="Arial" w:hAnsi="Arial" w:cs="Arial"/>
          <w:bCs/>
          <w:sz w:val="18"/>
          <w:szCs w:val="18"/>
        </w:rPr>
      </w:pPr>
      <w:r>
        <w:rPr>
          <w:rFonts w:ascii="Arial" w:hAnsi="Arial" w:cs="Arial"/>
          <w:bCs/>
          <w:sz w:val="18"/>
          <w:szCs w:val="18"/>
        </w:rPr>
        <w:t xml:space="preserve">Do not use kit after the expiry date. </w:t>
      </w:r>
    </w:p>
    <w:p w14:paraId="0965C30B">
      <w:pPr>
        <w:pStyle w:val="13"/>
        <w:numPr>
          <w:ilvl w:val="0"/>
          <w:numId w:val="5"/>
        </w:numPr>
        <w:tabs>
          <w:tab w:val="left" w:pos="360"/>
        </w:tabs>
        <w:jc w:val="both"/>
        <w:rPr>
          <w:rFonts w:ascii="Arial" w:hAnsi="Arial" w:cs="Arial"/>
          <w:bCs/>
          <w:sz w:val="18"/>
          <w:szCs w:val="18"/>
        </w:rPr>
      </w:pPr>
      <w:r>
        <w:rPr>
          <w:rFonts w:ascii="Arial" w:hAnsi="Arial" w:cs="Arial"/>
          <w:bCs/>
          <w:sz w:val="18"/>
          <w:szCs w:val="18"/>
        </w:rPr>
        <w:t>Do not mix components of one kit with another.</w:t>
      </w:r>
    </w:p>
    <w:p w14:paraId="1FF8210A">
      <w:pPr>
        <w:pStyle w:val="13"/>
        <w:numPr>
          <w:ilvl w:val="0"/>
          <w:numId w:val="5"/>
        </w:numPr>
        <w:tabs>
          <w:tab w:val="left" w:pos="360"/>
        </w:tabs>
        <w:jc w:val="both"/>
        <w:rPr>
          <w:rFonts w:ascii="Arial" w:hAnsi="Arial" w:cs="Arial"/>
          <w:bCs/>
          <w:sz w:val="18"/>
          <w:szCs w:val="18"/>
        </w:rPr>
      </w:pPr>
      <w:r>
        <w:rPr>
          <w:rFonts w:ascii="Arial" w:hAnsi="Arial" w:cs="Arial"/>
          <w:bCs/>
          <w:sz w:val="18"/>
          <w:szCs w:val="18"/>
        </w:rPr>
        <w:t xml:space="preserve">Always use new tip for each specimen and reagent. </w:t>
      </w:r>
    </w:p>
    <w:p w14:paraId="1CBA0FF5">
      <w:pPr>
        <w:pStyle w:val="13"/>
        <w:numPr>
          <w:ilvl w:val="0"/>
          <w:numId w:val="5"/>
        </w:numPr>
        <w:tabs>
          <w:tab w:val="left" w:pos="360"/>
        </w:tabs>
        <w:jc w:val="both"/>
        <w:rPr>
          <w:rFonts w:ascii="Arial" w:hAnsi="Arial" w:cs="Arial"/>
          <w:bCs/>
          <w:sz w:val="18"/>
          <w:szCs w:val="18"/>
        </w:rPr>
      </w:pPr>
      <w:r>
        <w:rPr>
          <w:rFonts w:ascii="Arial" w:hAnsi="Arial" w:cs="Arial"/>
          <w:bCs/>
          <w:sz w:val="18"/>
          <w:szCs w:val="18"/>
        </w:rPr>
        <w:t>Do not allow liquid from one well to mix with other wells.</w:t>
      </w:r>
    </w:p>
    <w:p w14:paraId="19406661">
      <w:pPr>
        <w:pStyle w:val="13"/>
        <w:numPr>
          <w:ilvl w:val="0"/>
          <w:numId w:val="5"/>
        </w:numPr>
        <w:tabs>
          <w:tab w:val="left" w:pos="360"/>
        </w:tabs>
        <w:jc w:val="both"/>
        <w:rPr>
          <w:rFonts w:ascii="Arial" w:hAnsi="Arial" w:cs="Arial"/>
          <w:bCs/>
          <w:sz w:val="18"/>
          <w:szCs w:val="18"/>
        </w:rPr>
      </w:pPr>
      <w:r>
        <w:rPr>
          <w:rFonts w:hint="default" w:ascii="Arial" w:hAnsi="Arial" w:cs="Arial"/>
          <w:bCs/>
          <w:sz w:val="18"/>
          <w:szCs w:val="18"/>
          <w:lang w:val="en-GB"/>
        </w:rPr>
        <w:t>Do not let the strips dry in between the steps.</w:t>
      </w:r>
      <w:r>
        <w:rPr>
          <w:rFonts w:ascii="Arial" w:hAnsi="Arial" w:cs="Arial"/>
          <w:bCs/>
          <w:sz w:val="18"/>
          <w:szCs w:val="18"/>
        </w:rPr>
        <w:t xml:space="preserve"> </w:t>
      </w:r>
    </w:p>
    <w:p w14:paraId="7BA7540D">
      <w:pPr>
        <w:tabs>
          <w:tab w:val="left" w:pos="360"/>
        </w:tabs>
        <w:ind w:left="360"/>
        <w:jc w:val="both"/>
        <w:rPr>
          <w:rFonts w:ascii="Arial" w:hAnsi="Arial" w:cs="Arial"/>
          <w:bCs/>
          <w:sz w:val="18"/>
          <w:szCs w:val="18"/>
        </w:rPr>
      </w:pPr>
    </w:p>
    <w:p w14:paraId="476DFB6F">
      <w:pPr>
        <w:tabs>
          <w:tab w:val="left" w:pos="360"/>
        </w:tabs>
        <w:ind w:left="1800" w:hanging="1374"/>
        <w:rPr>
          <w:rFonts w:ascii="Arial" w:hAnsi="Arial" w:cs="Arial"/>
          <w:bCs/>
          <w:sz w:val="18"/>
          <w:szCs w:val="18"/>
        </w:rPr>
      </w:pPr>
      <w:r>
        <w:rPr>
          <w:rFonts w:ascii="Arial" w:hAnsi="Arial" w:cs="Arial"/>
          <w:bCs/>
          <w:sz w:val="18"/>
          <w:szCs w:val="18"/>
        </w:rPr>
        <w:t>REAGENT PREPARATION</w:t>
      </w:r>
    </w:p>
    <w:p w14:paraId="6153A34B">
      <w:pPr>
        <w:tabs>
          <w:tab w:val="left" w:pos="360"/>
        </w:tabs>
        <w:ind w:left="709" w:hanging="283"/>
        <w:rPr>
          <w:rFonts w:ascii="Arial" w:hAnsi="Arial" w:cs="Arial"/>
          <w:bCs/>
          <w:sz w:val="18"/>
          <w:szCs w:val="18"/>
        </w:rPr>
      </w:pPr>
      <w:r>
        <w:rPr>
          <w:rFonts w:ascii="Arial" w:hAnsi="Arial" w:cs="Arial"/>
          <w:bCs/>
          <w:sz w:val="18"/>
          <w:szCs w:val="18"/>
        </w:rPr>
        <w:t>1.</w:t>
      </w:r>
      <w:r>
        <w:rPr>
          <w:rFonts w:ascii="Arial" w:hAnsi="Arial" w:cs="Arial"/>
          <w:bCs/>
          <w:sz w:val="18"/>
          <w:szCs w:val="18"/>
        </w:rPr>
        <w:tab/>
      </w:r>
      <w:r>
        <w:rPr>
          <w:rFonts w:ascii="Arial" w:hAnsi="Arial" w:cs="Arial"/>
          <w:bCs/>
          <w:sz w:val="18"/>
          <w:szCs w:val="18"/>
        </w:rPr>
        <w:t>Dilute wash buffer 20 times (for example add 5ml concentrated buffer to 95ml of distilled or deionized water).</w:t>
      </w:r>
    </w:p>
    <w:p w14:paraId="60AC6982">
      <w:pPr>
        <w:tabs>
          <w:tab w:val="left" w:pos="360"/>
        </w:tabs>
        <w:ind w:left="709" w:hanging="283"/>
        <w:rPr>
          <w:rFonts w:ascii="Arial" w:hAnsi="Arial" w:cs="Arial"/>
          <w:bCs/>
          <w:sz w:val="18"/>
          <w:szCs w:val="18"/>
        </w:rPr>
      </w:pPr>
      <w:r>
        <w:rPr>
          <w:rFonts w:ascii="Arial" w:hAnsi="Arial" w:cs="Arial"/>
          <w:bCs/>
          <w:sz w:val="18"/>
          <w:szCs w:val="18"/>
        </w:rPr>
        <w:t>2.</w:t>
      </w:r>
      <w:r>
        <w:rPr>
          <w:rFonts w:ascii="Arial" w:hAnsi="Arial" w:cs="Arial"/>
          <w:bCs/>
          <w:sz w:val="18"/>
          <w:szCs w:val="18"/>
        </w:rPr>
        <w:tab/>
      </w:r>
      <w:r>
        <w:rPr>
          <w:rFonts w:ascii="Arial" w:hAnsi="Arial" w:cs="Arial"/>
          <w:bCs/>
          <w:sz w:val="18"/>
          <w:szCs w:val="18"/>
        </w:rPr>
        <w:t>All reagents should be brought to room temperature (18-25°C) and mixed by gently inverting or swirling prior to use. Do not induce foaming.</w:t>
      </w:r>
    </w:p>
    <w:p w14:paraId="416506DF">
      <w:pPr>
        <w:tabs>
          <w:tab w:val="left" w:pos="360"/>
        </w:tabs>
        <w:jc w:val="both"/>
        <w:rPr>
          <w:rFonts w:ascii="Arial" w:hAnsi="Arial" w:cs="Arial"/>
          <w:bCs/>
          <w:sz w:val="18"/>
          <w:szCs w:val="18"/>
        </w:rPr>
      </w:pPr>
    </w:p>
    <w:p w14:paraId="6E86DB22">
      <w:pPr>
        <w:tabs>
          <w:tab w:val="left" w:pos="360"/>
        </w:tabs>
        <w:ind w:left="360"/>
        <w:jc w:val="both"/>
        <w:rPr>
          <w:rFonts w:ascii="Arial" w:hAnsi="Arial" w:cs="Arial"/>
          <w:bCs/>
          <w:sz w:val="18"/>
          <w:szCs w:val="18"/>
        </w:rPr>
      </w:pPr>
      <w:r>
        <w:rPr>
          <w:rFonts w:ascii="Arial" w:hAnsi="Arial" w:cs="Arial"/>
          <w:bCs/>
          <w:sz w:val="18"/>
          <w:szCs w:val="18"/>
        </w:rPr>
        <w:t>TEST PROCEDURE</w:t>
      </w:r>
    </w:p>
    <w:p w14:paraId="4691908D">
      <w:pPr>
        <w:pStyle w:val="13"/>
        <w:numPr>
          <w:ilvl w:val="0"/>
          <w:numId w:val="6"/>
        </w:numPr>
        <w:tabs>
          <w:tab w:val="left" w:pos="360"/>
        </w:tabs>
        <w:jc w:val="both"/>
        <w:rPr>
          <w:rFonts w:ascii="Arial" w:hAnsi="Arial" w:cs="Arial"/>
          <w:bCs/>
          <w:sz w:val="18"/>
          <w:szCs w:val="18"/>
        </w:rPr>
      </w:pPr>
      <w:r>
        <w:rPr>
          <w:rFonts w:ascii="Arial" w:hAnsi="Arial" w:cs="Arial"/>
          <w:bCs/>
          <w:sz w:val="18"/>
          <w:szCs w:val="18"/>
        </w:rPr>
        <w:t>Place the desired number of coated strips into the holder.</w:t>
      </w:r>
    </w:p>
    <w:p w14:paraId="59634BF6">
      <w:pPr>
        <w:pStyle w:val="13"/>
        <w:numPr>
          <w:ilvl w:val="0"/>
          <w:numId w:val="6"/>
        </w:numPr>
        <w:tabs>
          <w:tab w:val="left" w:pos="360"/>
        </w:tabs>
        <w:jc w:val="both"/>
        <w:rPr>
          <w:rFonts w:ascii="Arial" w:hAnsi="Arial" w:cs="Arial"/>
          <w:bCs/>
          <w:sz w:val="18"/>
          <w:szCs w:val="18"/>
        </w:rPr>
      </w:pPr>
      <w:r>
        <w:rPr>
          <w:rFonts w:ascii="Arial" w:hAnsi="Arial" w:cs="Arial"/>
          <w:bCs/>
          <w:sz w:val="18"/>
          <w:szCs w:val="18"/>
        </w:rPr>
        <w:t>Prepare 1:40 dilutions by adding 5µl of the test samples, negative control, positive control and calibrators to 200µl of sample diluent. Mix well.</w:t>
      </w:r>
    </w:p>
    <w:p w14:paraId="5165F4EF">
      <w:pPr>
        <w:pStyle w:val="13"/>
        <w:numPr>
          <w:ilvl w:val="0"/>
          <w:numId w:val="6"/>
        </w:numPr>
        <w:tabs>
          <w:tab w:val="left" w:pos="360"/>
        </w:tabs>
        <w:jc w:val="both"/>
        <w:rPr>
          <w:rFonts w:ascii="Arial" w:hAnsi="Arial" w:cs="Arial"/>
          <w:bCs/>
          <w:sz w:val="18"/>
          <w:szCs w:val="18"/>
        </w:rPr>
      </w:pPr>
      <w:r>
        <w:rPr>
          <w:rFonts w:ascii="Arial" w:hAnsi="Arial" w:cs="Arial"/>
          <w:bCs/>
          <w:sz w:val="18"/>
          <w:szCs w:val="18"/>
        </w:rPr>
        <w:t>Dispense 100µl of diluted serum samples, negative control, positive control and calibrator into the appropriate wells. For the reagent blank, dispense 100µl of sample diluent in A1 well position. Tap the holder to remove air bubbles from the liquid and mix well. Incubate for 45 minutes at 37°C.</w:t>
      </w:r>
    </w:p>
    <w:p w14:paraId="4F724320">
      <w:pPr>
        <w:pStyle w:val="13"/>
        <w:numPr>
          <w:ilvl w:val="0"/>
          <w:numId w:val="6"/>
        </w:numPr>
        <w:tabs>
          <w:tab w:val="left" w:pos="360"/>
        </w:tabs>
        <w:jc w:val="both"/>
        <w:rPr>
          <w:rFonts w:ascii="Arial" w:hAnsi="Arial" w:cs="Arial"/>
          <w:bCs/>
          <w:sz w:val="18"/>
          <w:szCs w:val="18"/>
        </w:rPr>
      </w:pPr>
      <w:r>
        <w:rPr>
          <w:rFonts w:ascii="Arial" w:hAnsi="Arial" w:cs="Arial"/>
          <w:bCs/>
          <w:sz w:val="18"/>
          <w:szCs w:val="18"/>
        </w:rPr>
        <w:t>Wash each well three times by filling approximately 350µl diluted wash buffer &amp; blot dry.</w:t>
      </w:r>
    </w:p>
    <w:p w14:paraId="6D85F558">
      <w:pPr>
        <w:pStyle w:val="13"/>
        <w:numPr>
          <w:ilvl w:val="0"/>
          <w:numId w:val="6"/>
        </w:numPr>
        <w:tabs>
          <w:tab w:val="left" w:pos="360"/>
        </w:tabs>
        <w:jc w:val="both"/>
        <w:rPr>
          <w:rFonts w:ascii="Arial" w:hAnsi="Arial" w:cs="Arial"/>
          <w:bCs/>
          <w:sz w:val="18"/>
          <w:szCs w:val="18"/>
        </w:rPr>
      </w:pPr>
      <w:r>
        <w:rPr>
          <w:rFonts w:ascii="Arial" w:hAnsi="Arial" w:cs="Arial"/>
          <w:bCs/>
          <w:sz w:val="18"/>
          <w:szCs w:val="18"/>
        </w:rPr>
        <w:t>Dispense 100µl of enzyme conjugate to each well and incubate for 45 minutes at 37°C.</w:t>
      </w:r>
    </w:p>
    <w:p w14:paraId="47221F30">
      <w:pPr>
        <w:pStyle w:val="13"/>
        <w:numPr>
          <w:ilvl w:val="0"/>
          <w:numId w:val="6"/>
        </w:numPr>
        <w:tabs>
          <w:tab w:val="left" w:pos="360"/>
        </w:tabs>
        <w:jc w:val="both"/>
        <w:rPr>
          <w:rFonts w:ascii="Arial" w:hAnsi="Arial" w:cs="Arial"/>
          <w:bCs/>
          <w:sz w:val="18"/>
          <w:szCs w:val="18"/>
        </w:rPr>
      </w:pPr>
      <w:r>
        <w:rPr>
          <w:rFonts w:ascii="Arial" w:hAnsi="Arial" w:cs="Arial"/>
          <w:bCs/>
          <w:sz w:val="18"/>
          <w:szCs w:val="18"/>
        </w:rPr>
        <w:t>Wash each well three times by filling approximately 350µl diluted wash buffer &amp; blot dry.</w:t>
      </w:r>
    </w:p>
    <w:p w14:paraId="031355C6">
      <w:pPr>
        <w:pStyle w:val="13"/>
        <w:numPr>
          <w:ilvl w:val="0"/>
          <w:numId w:val="6"/>
        </w:numPr>
        <w:tabs>
          <w:tab w:val="left" w:pos="360"/>
        </w:tabs>
        <w:jc w:val="both"/>
        <w:rPr>
          <w:rFonts w:ascii="Arial" w:hAnsi="Arial" w:cs="Arial"/>
          <w:bCs/>
          <w:sz w:val="18"/>
          <w:szCs w:val="18"/>
        </w:rPr>
      </w:pPr>
      <w:r>
        <w:rPr>
          <w:rFonts w:ascii="Arial" w:hAnsi="Arial" w:cs="Arial"/>
          <w:bCs/>
          <w:sz w:val="18"/>
          <w:szCs w:val="18"/>
        </w:rPr>
        <w:t>Dispense 100µl of TMB Substrate to each well and incubate for 20 minutes at room temperature, away from direct light.</w:t>
      </w:r>
    </w:p>
    <w:p w14:paraId="17CE3E89">
      <w:pPr>
        <w:pStyle w:val="13"/>
        <w:numPr>
          <w:ilvl w:val="0"/>
          <w:numId w:val="6"/>
        </w:numPr>
        <w:tabs>
          <w:tab w:val="left" w:pos="360"/>
        </w:tabs>
        <w:jc w:val="both"/>
        <w:rPr>
          <w:rFonts w:ascii="Arial" w:hAnsi="Arial" w:cs="Arial"/>
          <w:bCs/>
          <w:sz w:val="18"/>
          <w:szCs w:val="18"/>
        </w:rPr>
      </w:pPr>
      <w:r>
        <w:rPr>
          <w:rFonts w:ascii="Arial" w:hAnsi="Arial" w:cs="Arial"/>
          <w:bCs/>
          <w:sz w:val="18"/>
          <w:szCs w:val="18"/>
        </w:rPr>
        <w:t>Add 100µl of Stop Solution to stop the reaction.</w:t>
      </w:r>
    </w:p>
    <w:p w14:paraId="7E2A64AD">
      <w:pPr>
        <w:pStyle w:val="13"/>
        <w:numPr>
          <w:ilvl w:val="0"/>
          <w:numId w:val="6"/>
        </w:numPr>
        <w:tabs>
          <w:tab w:val="left" w:pos="360"/>
        </w:tabs>
        <w:jc w:val="both"/>
        <w:rPr>
          <w:rFonts w:ascii="Arial" w:hAnsi="Arial" w:cs="Arial"/>
          <w:bCs/>
          <w:sz w:val="18"/>
          <w:szCs w:val="18"/>
        </w:rPr>
      </w:pPr>
      <w:r>
        <w:rPr>
          <w:rFonts w:ascii="Arial" w:hAnsi="Arial" w:cs="Arial"/>
          <w:bCs/>
          <w:sz w:val="18"/>
          <w:szCs w:val="18"/>
        </w:rPr>
        <w:t>Read O.D. at 450 - 630 nm with an ELISA reader.</w:t>
      </w:r>
    </w:p>
    <w:p w14:paraId="3B65367C">
      <w:pPr>
        <w:tabs>
          <w:tab w:val="left" w:pos="360"/>
        </w:tabs>
        <w:jc w:val="both"/>
        <w:rPr>
          <w:rFonts w:ascii="Arial" w:hAnsi="Arial" w:cs="Arial"/>
          <w:bCs/>
          <w:sz w:val="18"/>
          <w:szCs w:val="18"/>
        </w:rPr>
      </w:pPr>
    </w:p>
    <w:p w14:paraId="34E813C8">
      <w:pPr>
        <w:tabs>
          <w:tab w:val="left" w:pos="360"/>
        </w:tabs>
        <w:jc w:val="both"/>
        <w:rPr>
          <w:rFonts w:ascii="Arial" w:hAnsi="Arial" w:cs="Arial"/>
          <w:bCs/>
          <w:sz w:val="18"/>
          <w:szCs w:val="18"/>
        </w:rPr>
      </w:pPr>
    </w:p>
    <w:tbl>
      <w:tblPr>
        <w:tblStyle w:val="5"/>
        <w:tblW w:w="3546" w:type="dxa"/>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46"/>
      </w:tblGrid>
      <w:tr w14:paraId="5F355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3546" w:type="dxa"/>
            <w:shd w:val="clear" w:color="auto" w:fill="auto"/>
          </w:tcPr>
          <w:p w14:paraId="464BA63D">
            <w:pPr>
              <w:tabs>
                <w:tab w:val="left" w:pos="360"/>
              </w:tabs>
              <w:jc w:val="both"/>
              <w:rPr>
                <w:rFonts w:ascii="Arial" w:hAnsi="Arial" w:cs="Arial"/>
                <w:bCs/>
                <w:sz w:val="18"/>
                <w:szCs w:val="18"/>
              </w:rPr>
            </w:pPr>
            <w:r>
              <w:rPr>
                <w:rFonts w:ascii="Arial" w:hAnsi="Arial" w:cs="Arial"/>
                <w:bCs/>
                <w:sz w:val="18"/>
                <w:szCs w:val="18"/>
              </w:rPr>
              <w:t>Add 100µl of sample diluent in A1 Microwell as blank</w:t>
            </w:r>
          </w:p>
        </w:tc>
      </w:tr>
    </w:tbl>
    <w:p w14:paraId="1B4CA6B1">
      <w:pPr>
        <w:tabs>
          <w:tab w:val="left" w:pos="360"/>
        </w:tabs>
        <w:ind w:left="360" w:hanging="360"/>
        <w:jc w:val="both"/>
        <w:rPr>
          <w:rFonts w:ascii="Arial" w:hAnsi="Arial" w:cs="Arial"/>
          <w:bCs/>
          <w:sz w:val="18"/>
          <w:szCs w:val="18"/>
        </w:rPr>
      </w:pPr>
      <w:r>
        <w:rPr>
          <w:rFonts w:ascii="Arial" w:hAnsi="Arial" w:cs="Arial"/>
          <w:bCs/>
          <w:sz w:val="18"/>
          <w:szCs w:val="18"/>
        </w:rPr>
        <mc:AlternateContent>
          <mc:Choice Requires="wps">
            <w:drawing>
              <wp:anchor distT="0" distB="0" distL="114300" distR="114300" simplePos="0" relativeHeight="251661312" behindDoc="0" locked="0" layoutInCell="1" allowOverlap="1">
                <wp:simplePos x="0" y="0"/>
                <wp:positionH relativeFrom="column">
                  <wp:posOffset>1285875</wp:posOffset>
                </wp:positionH>
                <wp:positionV relativeFrom="paragraph">
                  <wp:posOffset>4445</wp:posOffset>
                </wp:positionV>
                <wp:extent cx="76200" cy="266700"/>
                <wp:effectExtent l="0" t="0" r="0" b="0"/>
                <wp:wrapNone/>
                <wp:docPr id="507549119" name="AutoShape 28"/>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w:pict>
              <v:shape id="AutoShape 28" o:spid="_x0000_s1026" o:spt="67" type="#_x0000_t67" style="position:absolute;left:0pt;margin-left:101.25pt;margin-top:0.35pt;height:21pt;width:6pt;z-index:251661312;mso-width-relative:page;mso-height-relative:page;" fillcolor="#000000" filled="t" stroked="t" coordsize="21600,21600" o:gfxdata="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Prqf0rVAAAABwEAAA8AAAAAAAAAAQAgAAAA&#10;IgAAAGRycy9kb3ducmV2LnhtbFBLAQIUABQAAAAIAIdO4kCrX72HRwIAANEEAAAOAAAAAAAAAAEA&#10;IAAAACQBAABkcnMvZTJvRG9jLnhtbFBLBQYAAAAABgAGAFkBAADdBQAAAAA=&#10;" adj="16200,5400">
                <v:fill on="t" focussize="0,0"/>
                <v:stroke color="#000000" miterlimit="8" joinstyle="miter"/>
                <v:imagedata o:title=""/>
                <o:lock v:ext="edit" aspectratio="f"/>
                <v:textbox style="layout-flow:vertical-ideographic;"/>
              </v:shape>
            </w:pict>
          </mc:Fallback>
        </mc:AlternateContent>
      </w:r>
    </w:p>
    <w:p w14:paraId="66A38EF8">
      <w:pPr>
        <w:tabs>
          <w:tab w:val="left" w:pos="360"/>
        </w:tabs>
        <w:ind w:left="360" w:hanging="360"/>
        <w:jc w:val="both"/>
        <w:rPr>
          <w:rFonts w:ascii="Arial" w:hAnsi="Arial" w:cs="Arial"/>
          <w:bCs/>
          <w:sz w:val="18"/>
          <w:szCs w:val="18"/>
        </w:rPr>
      </w:pPr>
    </w:p>
    <w:tbl>
      <w:tblPr>
        <w:tblStyle w:val="5"/>
        <w:tblW w:w="3604" w:type="dxa"/>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04"/>
      </w:tblGrid>
      <w:tr w14:paraId="3258C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5" w:hRule="atLeast"/>
        </w:trPr>
        <w:tc>
          <w:tcPr>
            <w:tcW w:w="3604" w:type="dxa"/>
            <w:shd w:val="clear" w:color="auto" w:fill="auto"/>
          </w:tcPr>
          <w:p w14:paraId="2BB0A28D">
            <w:pPr>
              <w:tabs>
                <w:tab w:val="left" w:pos="360"/>
              </w:tabs>
              <w:jc w:val="both"/>
              <w:rPr>
                <w:rFonts w:ascii="Arial" w:hAnsi="Arial" w:cs="Arial"/>
                <w:bCs/>
                <w:sz w:val="18"/>
                <w:szCs w:val="18"/>
                <w:lang w:val="en-GB"/>
              </w:rPr>
            </w:pPr>
            <w:r>
              <w:rPr>
                <w:rFonts w:ascii="Arial" w:hAnsi="Arial" w:cs="Arial"/>
                <w:bCs/>
                <w:sz w:val="18"/>
                <w:szCs w:val="18"/>
              </w:rPr>
              <w:t>Add 100µl diluted NC, PC, Calibrator and samples into the respective Microwells</w:t>
            </w:r>
          </w:p>
        </w:tc>
      </w:tr>
    </w:tbl>
    <w:p w14:paraId="13156DF5">
      <w:pPr>
        <w:tabs>
          <w:tab w:val="left" w:pos="360"/>
        </w:tabs>
        <w:ind w:left="360" w:hanging="360"/>
        <w:jc w:val="both"/>
        <w:rPr>
          <w:rFonts w:ascii="Arial" w:hAnsi="Arial" w:cs="Arial"/>
          <w:bCs/>
          <w:sz w:val="18"/>
          <w:szCs w:val="18"/>
        </w:rPr>
      </w:pPr>
      <w:r>
        <w:rPr>
          <w:rFonts w:ascii="Arial" w:hAnsi="Arial" w:cs="Arial"/>
          <w:bCs/>
          <w:sz w:val="18"/>
          <w:szCs w:val="18"/>
        </w:rPr>
        <mc:AlternateContent>
          <mc:Choice Requires="wps">
            <w:drawing>
              <wp:anchor distT="0" distB="0" distL="114300" distR="114300" simplePos="0" relativeHeight="251662336" behindDoc="0" locked="0" layoutInCell="1" allowOverlap="1">
                <wp:simplePos x="0" y="0"/>
                <wp:positionH relativeFrom="column">
                  <wp:posOffset>1276350</wp:posOffset>
                </wp:positionH>
                <wp:positionV relativeFrom="paragraph">
                  <wp:posOffset>-2540</wp:posOffset>
                </wp:positionV>
                <wp:extent cx="76200" cy="266700"/>
                <wp:effectExtent l="0" t="0" r="0" b="0"/>
                <wp:wrapNone/>
                <wp:docPr id="1217294194" name="AutoShape 29"/>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w:pict>
              <v:shape id="AutoShape 29" o:spid="_x0000_s1026" o:spt="67" type="#_x0000_t67" style="position:absolute;left:0pt;margin-left:100.5pt;margin-top:-0.2pt;height:21pt;width:6pt;z-index:251662336;mso-width-relative:page;mso-height-relative:page;" fillcolor="#000000" filled="t" stroked="t" coordsize="21600,21600" o:gfxdata="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dUtjt1wAAAAgBAAAPAAAAAAAAAAEA&#10;IAAAACIAAABkcnMvZG93bnJldi54bWxQSwECFAAUAAAACACHTuJA/W1xL0kCAADSBAAADgAAAAAA&#10;AAABACAAAAAmAQAAZHJzL2Uyb0RvYy54bWxQSwUGAAAAAAYABgBZAQAA4QUAAAAA&#10;" adj="16200,5400">
                <v:fill on="t" focussize="0,0"/>
                <v:stroke color="#000000" miterlimit="8" joinstyle="miter"/>
                <v:imagedata o:title=""/>
                <o:lock v:ext="edit" aspectratio="f"/>
                <v:textbox style="layout-flow:vertical-ideographic;"/>
              </v:shape>
            </w:pict>
          </mc:Fallback>
        </mc:AlternateContent>
      </w:r>
    </w:p>
    <w:p w14:paraId="3827FC96">
      <w:pPr>
        <w:tabs>
          <w:tab w:val="left" w:pos="360"/>
        </w:tabs>
        <w:ind w:left="360" w:hanging="360"/>
        <w:jc w:val="both"/>
        <w:rPr>
          <w:rFonts w:ascii="Arial" w:hAnsi="Arial" w:cs="Arial"/>
          <w:bCs/>
          <w:sz w:val="18"/>
          <w:szCs w:val="18"/>
        </w:rPr>
      </w:pPr>
    </w:p>
    <w:tbl>
      <w:tblPr>
        <w:tblStyle w:val="5"/>
        <w:tblW w:w="3604" w:type="dxa"/>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04"/>
      </w:tblGrid>
      <w:tr w14:paraId="56480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6" w:hRule="atLeast"/>
        </w:trPr>
        <w:tc>
          <w:tcPr>
            <w:tcW w:w="3604" w:type="dxa"/>
            <w:shd w:val="clear" w:color="auto" w:fill="auto"/>
          </w:tcPr>
          <w:p w14:paraId="7111E340">
            <w:pPr>
              <w:tabs>
                <w:tab w:val="left" w:pos="360"/>
              </w:tabs>
              <w:jc w:val="both"/>
              <w:rPr>
                <w:rFonts w:ascii="Arial" w:hAnsi="Arial" w:cs="Arial"/>
                <w:bCs/>
                <w:i/>
                <w:iCs/>
                <w:sz w:val="18"/>
                <w:szCs w:val="18"/>
              </w:rPr>
            </w:pPr>
            <w:r>
              <w:rPr>
                <w:rFonts w:ascii="Arial" w:hAnsi="Arial" w:cs="Arial"/>
                <w:bCs/>
                <w:sz w:val="18"/>
                <w:szCs w:val="18"/>
              </w:rPr>
              <w:t>Apply plate sealer and incubate for 45 minutes at 37°C</w:t>
            </w:r>
          </w:p>
        </w:tc>
      </w:tr>
    </w:tbl>
    <w:p w14:paraId="24A1926D">
      <w:pPr>
        <w:tabs>
          <w:tab w:val="left" w:pos="360"/>
        </w:tabs>
        <w:ind w:left="360" w:hanging="360"/>
        <w:jc w:val="both"/>
        <w:rPr>
          <w:rFonts w:ascii="Arial" w:hAnsi="Arial" w:cs="Arial"/>
          <w:bCs/>
          <w:sz w:val="18"/>
          <w:szCs w:val="18"/>
        </w:rPr>
      </w:pPr>
      <w:r>
        <w:rPr>
          <w:rFonts w:ascii="Arial" w:hAnsi="Arial" w:cs="Arial"/>
          <w:bCs/>
          <w:sz w:val="18"/>
          <w:szCs w:val="18"/>
        </w:rPr>
        <mc:AlternateContent>
          <mc:Choice Requires="wps">
            <w:drawing>
              <wp:anchor distT="0" distB="0" distL="114300" distR="114300" simplePos="0" relativeHeight="251664384" behindDoc="0" locked="0" layoutInCell="1" allowOverlap="1">
                <wp:simplePos x="0" y="0"/>
                <wp:positionH relativeFrom="column">
                  <wp:posOffset>1295400</wp:posOffset>
                </wp:positionH>
                <wp:positionV relativeFrom="paragraph">
                  <wp:posOffset>10160</wp:posOffset>
                </wp:positionV>
                <wp:extent cx="76200" cy="266700"/>
                <wp:effectExtent l="19050" t="0" r="38100" b="38100"/>
                <wp:wrapNone/>
                <wp:docPr id="1504921668" name="AutoShape 17"/>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w:pict>
              <v:shape id="AutoShape 17" o:spid="_x0000_s1026" o:spt="67" type="#_x0000_t67" style="position:absolute;left:0pt;margin-left:102pt;margin-top:0.8pt;height:21pt;width:6pt;z-index:251664384;mso-width-relative:page;mso-height-relative:page;" fillcolor="#000000" filled="t" stroked="t" coordsize="21600,21600" o:gfxdata="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hfylg9YAAAAIAQAADwAAAAAAAAABACAA&#10;AAAiAAAAZHJzL2Rvd25yZXYueG1sUEsBAhQAFAAAAAgAh07iQK+/WthIAgAA0gQAAA4AAAAAAAAA&#10;AQAgAAAAJQEAAGRycy9lMm9Eb2MueG1sUEsFBgAAAAAGAAYAWQEAAN8FAAAAAA==&#10;" adj="16200,5400">
                <v:fill on="t" focussize="0,0"/>
                <v:stroke color="#000000" miterlimit="8" joinstyle="miter"/>
                <v:imagedata o:title=""/>
                <o:lock v:ext="edit" aspectratio="f"/>
                <v:textbox style="layout-flow:vertical-ideographic;"/>
              </v:shape>
            </w:pict>
          </mc:Fallback>
        </mc:AlternateContent>
      </w:r>
    </w:p>
    <w:p w14:paraId="657B1D09">
      <w:pPr>
        <w:tabs>
          <w:tab w:val="left" w:pos="360"/>
        </w:tabs>
        <w:ind w:left="360" w:hanging="360"/>
        <w:jc w:val="both"/>
        <w:rPr>
          <w:rFonts w:ascii="Arial" w:hAnsi="Arial" w:cs="Arial"/>
          <w:bCs/>
          <w:sz w:val="18"/>
          <w:szCs w:val="18"/>
        </w:rPr>
      </w:pPr>
    </w:p>
    <w:tbl>
      <w:tblPr>
        <w:tblStyle w:val="5"/>
        <w:tblW w:w="3604" w:type="dxa"/>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04"/>
      </w:tblGrid>
      <w:tr w14:paraId="454D9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3604" w:type="dxa"/>
            <w:shd w:val="clear" w:color="auto" w:fill="auto"/>
          </w:tcPr>
          <w:p w14:paraId="3F15E060">
            <w:pPr>
              <w:tabs>
                <w:tab w:val="left" w:pos="360"/>
              </w:tabs>
              <w:jc w:val="both"/>
              <w:rPr>
                <w:rFonts w:ascii="Arial" w:hAnsi="Arial" w:cs="Arial"/>
                <w:bCs/>
                <w:sz w:val="18"/>
                <w:szCs w:val="18"/>
              </w:rPr>
            </w:pPr>
            <w:r>
              <w:rPr>
                <w:rFonts w:ascii="Arial" w:hAnsi="Arial" w:cs="Arial"/>
                <w:bCs/>
                <w:sz w:val="18"/>
                <w:szCs w:val="18"/>
              </w:rPr>
              <w:t>Wash microwells 3 times with diluted wash buffer</w:t>
            </w:r>
          </w:p>
        </w:tc>
      </w:tr>
    </w:tbl>
    <w:p w14:paraId="4BCA1DF0">
      <w:pPr>
        <w:tabs>
          <w:tab w:val="left" w:pos="360"/>
        </w:tabs>
        <w:ind w:left="360" w:hanging="360"/>
        <w:jc w:val="both"/>
        <w:rPr>
          <w:rFonts w:ascii="Arial" w:hAnsi="Arial" w:cs="Arial"/>
          <w:bCs/>
          <w:sz w:val="18"/>
          <w:szCs w:val="18"/>
        </w:rPr>
      </w:pPr>
      <w:r>
        <w:rPr>
          <w:rFonts w:ascii="Arial" w:hAnsi="Arial" w:cs="Arial"/>
          <w:bCs/>
          <w:sz w:val="18"/>
          <w:szCs w:val="18"/>
        </w:rPr>
        <mc:AlternateContent>
          <mc:Choice Requires="wps">
            <w:drawing>
              <wp:anchor distT="0" distB="0" distL="114300" distR="114300" simplePos="0" relativeHeight="251660288" behindDoc="0" locked="0" layoutInCell="1" allowOverlap="1">
                <wp:simplePos x="0" y="0"/>
                <wp:positionH relativeFrom="column">
                  <wp:posOffset>1285875</wp:posOffset>
                </wp:positionH>
                <wp:positionV relativeFrom="paragraph">
                  <wp:posOffset>-1270</wp:posOffset>
                </wp:positionV>
                <wp:extent cx="76200" cy="266700"/>
                <wp:effectExtent l="0" t="0" r="0" b="0"/>
                <wp:wrapNone/>
                <wp:docPr id="1020102689" name="AutoShape 17"/>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w:pict>
              <v:shape id="AutoShape 17" o:spid="_x0000_s1026" o:spt="67" type="#_x0000_t67" style="position:absolute;left:0pt;margin-left:101.25pt;margin-top:-0.1pt;height:21pt;width:6pt;z-index:251660288;mso-width-relative:page;mso-height-relative:page;" fillcolor="#000000" filled="t" stroked="t" coordsize="21600,21600" o:gfxdata="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QU/RF1wAAAAgBAAAPAAAAAAAAAAEAIAAA&#10;ACIAAABkcnMvZG93bnJldi54bWxQSwECFAAUAAAACACHTuJALMoxjUYCAADSBAAADgAAAAAAAAAB&#10;ACAAAAAmAQAAZHJzL2Uyb0RvYy54bWxQSwUGAAAAAAYABgBZAQAA3gUAAAAA&#10;" adj="16200,5400">
                <v:fill on="t" focussize="0,0"/>
                <v:stroke color="#000000" miterlimit="8" joinstyle="miter"/>
                <v:imagedata o:title=""/>
                <o:lock v:ext="edit" aspectratio="f"/>
                <v:textbox style="layout-flow:vertical-ideographic;"/>
              </v:shape>
            </w:pict>
          </mc:Fallback>
        </mc:AlternateContent>
      </w:r>
    </w:p>
    <w:p w14:paraId="23EB6A4A">
      <w:pPr>
        <w:tabs>
          <w:tab w:val="left" w:pos="360"/>
        </w:tabs>
        <w:ind w:left="360" w:hanging="360"/>
        <w:jc w:val="both"/>
        <w:rPr>
          <w:rFonts w:ascii="Arial" w:hAnsi="Arial" w:cs="Arial"/>
          <w:bCs/>
          <w:sz w:val="18"/>
          <w:szCs w:val="18"/>
        </w:rPr>
      </w:pPr>
    </w:p>
    <w:tbl>
      <w:tblPr>
        <w:tblStyle w:val="5"/>
        <w:tblW w:w="3604" w:type="dxa"/>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04"/>
      </w:tblGrid>
      <w:tr w14:paraId="12FE2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04" w:type="dxa"/>
            <w:shd w:val="clear" w:color="auto" w:fill="auto"/>
          </w:tcPr>
          <w:p w14:paraId="19595427">
            <w:pPr>
              <w:tabs>
                <w:tab w:val="left" w:pos="360"/>
              </w:tabs>
              <w:jc w:val="both"/>
              <w:rPr>
                <w:rFonts w:ascii="Arial" w:hAnsi="Arial" w:cs="Arial"/>
                <w:bCs/>
                <w:sz w:val="18"/>
                <w:szCs w:val="18"/>
              </w:rPr>
            </w:pPr>
            <w:r>
              <w:rPr>
                <w:rFonts w:ascii="Arial" w:hAnsi="Arial" w:cs="Arial"/>
                <w:bCs/>
                <w:sz w:val="18"/>
                <w:szCs w:val="18"/>
              </w:rPr>
              <w:t>Add 100µl Enzyme conjugate in each well</w:t>
            </w:r>
          </w:p>
        </w:tc>
      </w:tr>
    </w:tbl>
    <w:p w14:paraId="3B9071BD">
      <w:pPr>
        <w:tabs>
          <w:tab w:val="left" w:pos="360"/>
        </w:tabs>
        <w:ind w:left="360" w:hanging="360"/>
        <w:jc w:val="both"/>
        <w:rPr>
          <w:rFonts w:ascii="Arial" w:hAnsi="Arial" w:cs="Arial"/>
          <w:bCs/>
          <w:sz w:val="18"/>
          <w:szCs w:val="18"/>
        </w:rPr>
      </w:pPr>
      <w:r>
        <w:rPr>
          <w:rFonts w:ascii="Arial" w:hAnsi="Arial" w:cs="Arial"/>
          <w:bCs/>
          <w:sz w:val="18"/>
          <w:szCs w:val="18"/>
        </w:rPr>
        <mc:AlternateContent>
          <mc:Choice Requires="wps">
            <w:drawing>
              <wp:anchor distT="0" distB="0" distL="114300" distR="114300" simplePos="0" relativeHeight="251665408" behindDoc="0" locked="0" layoutInCell="1" allowOverlap="1">
                <wp:simplePos x="0" y="0"/>
                <wp:positionH relativeFrom="column">
                  <wp:posOffset>1304925</wp:posOffset>
                </wp:positionH>
                <wp:positionV relativeFrom="paragraph">
                  <wp:posOffset>13335</wp:posOffset>
                </wp:positionV>
                <wp:extent cx="76200" cy="266700"/>
                <wp:effectExtent l="19050" t="0" r="38100" b="38100"/>
                <wp:wrapNone/>
                <wp:docPr id="1837099124" name="AutoShape 17"/>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w:pict>
              <v:shape id="AutoShape 17" o:spid="_x0000_s1026" o:spt="67" type="#_x0000_t67" style="position:absolute;left:0pt;margin-left:102.75pt;margin-top:1.05pt;height:21pt;width:6pt;z-index:251665408;mso-width-relative:page;mso-height-relative:page;" fillcolor="#000000" filled="t" stroked="t" coordsize="21600,21600" o:gfxdata="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HlTc4rXAAAACAEAAA8AAAAAAAAAAQAg&#10;AAAAIgAAAGRycy9kb3ducmV2LnhtbFBLAQIUABQAAAAIAIdO4kBfMnJcSAIAANIEAAAOAAAAAAAA&#10;AAEAIAAAACYBAABkcnMvZTJvRG9jLnhtbFBLBQYAAAAABgAGAFkBAADgBQAAAAA=&#10;" adj="16200,5400">
                <v:fill on="t" focussize="0,0"/>
                <v:stroke color="#000000" miterlimit="8" joinstyle="miter"/>
                <v:imagedata o:title=""/>
                <o:lock v:ext="edit" aspectratio="f"/>
                <v:textbox style="layout-flow:vertical-ideographic;"/>
              </v:shape>
            </w:pict>
          </mc:Fallback>
        </mc:AlternateContent>
      </w:r>
    </w:p>
    <w:p w14:paraId="2F682E7C">
      <w:pPr>
        <w:tabs>
          <w:tab w:val="left" w:pos="360"/>
        </w:tabs>
        <w:ind w:left="360" w:hanging="360"/>
        <w:jc w:val="both"/>
        <w:rPr>
          <w:rFonts w:ascii="Arial" w:hAnsi="Arial" w:cs="Arial"/>
          <w:bCs/>
          <w:sz w:val="18"/>
          <w:szCs w:val="18"/>
        </w:rPr>
      </w:pPr>
    </w:p>
    <w:tbl>
      <w:tblPr>
        <w:tblStyle w:val="5"/>
        <w:tblW w:w="3604" w:type="dxa"/>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04"/>
      </w:tblGrid>
      <w:tr w14:paraId="152E6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04" w:type="dxa"/>
            <w:shd w:val="clear" w:color="auto" w:fill="auto"/>
          </w:tcPr>
          <w:p w14:paraId="4ACC282F">
            <w:pPr>
              <w:tabs>
                <w:tab w:val="left" w:pos="360"/>
              </w:tabs>
              <w:jc w:val="both"/>
              <w:rPr>
                <w:rFonts w:ascii="Arial" w:hAnsi="Arial" w:cs="Arial"/>
                <w:bCs/>
                <w:sz w:val="18"/>
                <w:szCs w:val="18"/>
              </w:rPr>
            </w:pPr>
            <w:r>
              <w:rPr>
                <w:rFonts w:ascii="Arial" w:hAnsi="Arial" w:cs="Arial"/>
                <w:bCs/>
                <w:sz w:val="18"/>
                <w:szCs w:val="18"/>
              </w:rPr>
              <w:t>Apply plate sealer and incubate for 45 minutes at 37°C</w:t>
            </w:r>
          </w:p>
        </w:tc>
      </w:tr>
    </w:tbl>
    <w:p w14:paraId="2FD04D4B">
      <w:pPr>
        <w:tabs>
          <w:tab w:val="left" w:pos="360"/>
        </w:tabs>
        <w:ind w:left="360" w:hanging="360"/>
        <w:jc w:val="both"/>
        <w:rPr>
          <w:rFonts w:ascii="Arial" w:hAnsi="Arial" w:cs="Arial"/>
          <w:bCs/>
          <w:sz w:val="18"/>
          <w:szCs w:val="18"/>
        </w:rPr>
      </w:pPr>
      <w:r>
        <w:rPr>
          <w:rFonts w:ascii="Arial" w:hAnsi="Arial" w:cs="Arial"/>
          <w:bCs/>
          <w:sz w:val="18"/>
          <w:szCs w:val="18"/>
        </w:rPr>
        <mc:AlternateContent>
          <mc:Choice Requires="wps">
            <w:drawing>
              <wp:anchor distT="0" distB="0" distL="114300" distR="114300" simplePos="0" relativeHeight="251663360" behindDoc="0" locked="0" layoutInCell="1" allowOverlap="1">
                <wp:simplePos x="0" y="0"/>
                <wp:positionH relativeFrom="column">
                  <wp:posOffset>1304925</wp:posOffset>
                </wp:positionH>
                <wp:positionV relativeFrom="paragraph">
                  <wp:posOffset>3810</wp:posOffset>
                </wp:positionV>
                <wp:extent cx="76200" cy="266700"/>
                <wp:effectExtent l="0" t="0" r="0" b="0"/>
                <wp:wrapNone/>
                <wp:docPr id="1395388771" name="AutoShape 32"/>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w:pict>
              <v:shape id="AutoShape 32" o:spid="_x0000_s1026" o:spt="67" type="#_x0000_t67" style="position:absolute;left:0pt;margin-left:102.75pt;margin-top:0.3pt;height:21pt;width:6pt;z-index:251663360;mso-width-relative:page;mso-height-relative:page;" fillcolor="#000000" filled="t" stroked="t" coordsize="21600,21600" o:gfxdata="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wfzkE1QAAAAcBAAAPAAAAAAAAAAEAIAAA&#10;ACIAAABkcnMvZG93bnJldi54bWxQSwECFAAUAAAACACHTuJACiYTDUgCAADSBAAADgAAAAAAAAAB&#10;ACAAAAAkAQAAZHJzL2Uyb0RvYy54bWxQSwUGAAAAAAYABgBZAQAA3gUAAAAA&#10;" adj="16200,5400">
                <v:fill on="t" focussize="0,0"/>
                <v:stroke color="#000000" miterlimit="8" joinstyle="miter"/>
                <v:imagedata o:title=""/>
                <o:lock v:ext="edit" aspectratio="f"/>
                <v:textbox style="layout-flow:vertical-ideographic;"/>
              </v:shape>
            </w:pict>
          </mc:Fallback>
        </mc:AlternateContent>
      </w:r>
    </w:p>
    <w:p w14:paraId="653214F4">
      <w:pPr>
        <w:tabs>
          <w:tab w:val="left" w:pos="360"/>
        </w:tabs>
        <w:ind w:left="360" w:hanging="360"/>
        <w:jc w:val="both"/>
        <w:rPr>
          <w:rFonts w:ascii="Arial" w:hAnsi="Arial" w:cs="Arial"/>
          <w:bCs/>
          <w:sz w:val="18"/>
          <w:szCs w:val="18"/>
        </w:rPr>
      </w:pPr>
    </w:p>
    <w:tbl>
      <w:tblPr>
        <w:tblStyle w:val="5"/>
        <w:tblW w:w="3604" w:type="dxa"/>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04"/>
      </w:tblGrid>
      <w:tr w14:paraId="2E4E4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3604" w:type="dxa"/>
            <w:shd w:val="clear" w:color="auto" w:fill="auto"/>
          </w:tcPr>
          <w:p w14:paraId="4D5AC542">
            <w:pPr>
              <w:tabs>
                <w:tab w:val="left" w:pos="360"/>
              </w:tabs>
              <w:jc w:val="both"/>
              <w:rPr>
                <w:rFonts w:ascii="Arial" w:hAnsi="Arial" w:cs="Arial"/>
                <w:bCs/>
                <w:sz w:val="18"/>
                <w:szCs w:val="18"/>
              </w:rPr>
            </w:pPr>
            <w:r>
              <w:rPr>
                <w:rFonts w:ascii="Arial" w:hAnsi="Arial" w:cs="Arial"/>
                <w:bCs/>
                <w:sz w:val="18"/>
                <w:szCs w:val="18"/>
              </w:rPr>
              <w:t>Wash micro</w:t>
            </w:r>
            <w:bookmarkStart w:id="0" w:name="_GoBack"/>
            <w:bookmarkEnd w:id="0"/>
            <w:r>
              <w:rPr>
                <w:rFonts w:ascii="Arial" w:hAnsi="Arial" w:cs="Arial"/>
                <w:bCs/>
                <w:sz w:val="18"/>
                <w:szCs w:val="18"/>
              </w:rPr>
              <w:t>wells 3 times with diluted wash buffer</w:t>
            </w:r>
          </w:p>
        </w:tc>
      </w:tr>
    </w:tbl>
    <w:p w14:paraId="0D3B1937">
      <w:pPr>
        <w:tabs>
          <w:tab w:val="left" w:pos="360"/>
        </w:tabs>
        <w:ind w:left="360" w:hanging="360"/>
        <w:jc w:val="both"/>
        <w:rPr>
          <w:rFonts w:ascii="Arial" w:hAnsi="Arial" w:cs="Arial"/>
          <w:bCs/>
          <w:sz w:val="18"/>
          <w:szCs w:val="18"/>
        </w:rPr>
      </w:pPr>
      <w:r>
        <w:rPr>
          <w:rFonts w:ascii="Arial" w:hAnsi="Arial" w:cs="Arial"/>
          <w:bCs/>
          <w:sz w:val="18"/>
          <w:szCs w:val="18"/>
        </w:rPr>
        <mc:AlternateContent>
          <mc:Choice Requires="wps">
            <w:drawing>
              <wp:anchor distT="0" distB="0" distL="114300" distR="114300" simplePos="0" relativeHeight="251666432" behindDoc="0" locked="0" layoutInCell="1" allowOverlap="1">
                <wp:simplePos x="0" y="0"/>
                <wp:positionH relativeFrom="column">
                  <wp:posOffset>1314450</wp:posOffset>
                </wp:positionH>
                <wp:positionV relativeFrom="paragraph">
                  <wp:posOffset>1270</wp:posOffset>
                </wp:positionV>
                <wp:extent cx="76200" cy="266700"/>
                <wp:effectExtent l="19050" t="0" r="38100" b="38100"/>
                <wp:wrapNone/>
                <wp:docPr id="272371258" name="AutoShape 17"/>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w:pict>
              <v:shape id="AutoShape 17" o:spid="_x0000_s1026" o:spt="67" type="#_x0000_t67" style="position:absolute;left:0pt;margin-left:103.5pt;margin-top:0.1pt;height:21pt;width:6pt;z-index:251666432;mso-width-relative:page;mso-height-relative:page;" fillcolor="#000000" filled="t" stroked="t" coordsize="21600,21600" o:gfxdata="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AEzLQU1QAAAAcBAAAPAAAAAAAAAAEAIAAA&#10;ACIAAABkcnMvZG93bnJldi54bWxQSwECFAAUAAAACACHTuJAPZ7ih0gCAADRBAAADgAAAAAAAAAB&#10;ACAAAAAkAQAAZHJzL2Uyb0RvYy54bWxQSwUGAAAAAAYABgBZAQAA3gUAAAAA&#10;" adj="16200,5400">
                <v:fill on="t" focussize="0,0"/>
                <v:stroke color="#000000" miterlimit="8" joinstyle="miter"/>
                <v:imagedata o:title=""/>
                <o:lock v:ext="edit" aspectratio="f"/>
                <v:textbox style="layout-flow:vertical-ideographic;"/>
              </v:shape>
            </w:pict>
          </mc:Fallback>
        </mc:AlternateContent>
      </w:r>
    </w:p>
    <w:p w14:paraId="2F42F9A5">
      <w:pPr>
        <w:tabs>
          <w:tab w:val="left" w:pos="360"/>
        </w:tabs>
        <w:ind w:left="360" w:hanging="360"/>
        <w:jc w:val="both"/>
        <w:rPr>
          <w:rFonts w:ascii="Arial" w:hAnsi="Arial" w:cs="Arial"/>
          <w:bCs/>
          <w:sz w:val="18"/>
          <w:szCs w:val="18"/>
        </w:rPr>
      </w:pPr>
    </w:p>
    <w:tbl>
      <w:tblPr>
        <w:tblStyle w:val="5"/>
        <w:tblW w:w="3604" w:type="dxa"/>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04"/>
      </w:tblGrid>
      <w:tr w14:paraId="5E7B4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04" w:type="dxa"/>
            <w:shd w:val="clear" w:color="auto" w:fill="auto"/>
          </w:tcPr>
          <w:p w14:paraId="376FFE4B">
            <w:pPr>
              <w:tabs>
                <w:tab w:val="left" w:pos="360"/>
              </w:tabs>
              <w:jc w:val="both"/>
              <w:rPr>
                <w:rFonts w:ascii="Arial" w:hAnsi="Arial" w:cs="Arial"/>
                <w:bCs/>
                <w:sz w:val="18"/>
                <w:szCs w:val="18"/>
              </w:rPr>
            </w:pPr>
            <w:r>
              <w:rPr>
                <w:rFonts w:ascii="Arial" w:hAnsi="Arial" w:cs="Arial"/>
                <w:bCs/>
                <w:sz w:val="18"/>
                <w:szCs w:val="18"/>
              </w:rPr>
              <w:t>Add 100µl substrate in each well</w:t>
            </w:r>
          </w:p>
        </w:tc>
      </w:tr>
    </w:tbl>
    <w:p w14:paraId="39FD3137">
      <w:pPr>
        <w:tabs>
          <w:tab w:val="left" w:pos="360"/>
        </w:tabs>
        <w:ind w:left="360" w:hanging="360"/>
        <w:jc w:val="both"/>
        <w:rPr>
          <w:rFonts w:ascii="Arial" w:hAnsi="Arial" w:cs="Arial"/>
          <w:bCs/>
          <w:sz w:val="18"/>
          <w:szCs w:val="18"/>
        </w:rPr>
      </w:pPr>
      <w:r>
        <w:rPr>
          <w:rFonts w:ascii="Arial" w:hAnsi="Arial" w:cs="Arial"/>
          <w:bCs/>
          <w:sz w:val="18"/>
          <w:szCs w:val="18"/>
        </w:rPr>
        <mc:AlternateContent>
          <mc:Choice Requires="wps">
            <w:drawing>
              <wp:anchor distT="0" distB="0" distL="114300" distR="114300" simplePos="0" relativeHeight="251668480" behindDoc="0" locked="0" layoutInCell="1" allowOverlap="1">
                <wp:simplePos x="0" y="0"/>
                <wp:positionH relativeFrom="column">
                  <wp:posOffset>1333500</wp:posOffset>
                </wp:positionH>
                <wp:positionV relativeFrom="paragraph">
                  <wp:posOffset>10795</wp:posOffset>
                </wp:positionV>
                <wp:extent cx="76200" cy="266700"/>
                <wp:effectExtent l="19050" t="0" r="38100" b="38100"/>
                <wp:wrapNone/>
                <wp:docPr id="1256119412" name="AutoShape 17"/>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w:pict>
              <v:shape id="AutoShape 17" o:spid="_x0000_s1026" o:spt="67" type="#_x0000_t67" style="position:absolute;left:0pt;margin-left:105pt;margin-top:0.85pt;height:21pt;width:6pt;z-index:251668480;mso-width-relative:page;mso-height-relative:page;" fillcolor="#000000" filled="t" stroked="t" coordsize="21600,21600" o:gfxdata="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JT+3mnWAAAACAEAAA8AAAAAAAAAAQAg&#10;AAAAIgAAAGRycy9kb3ducmV2LnhtbFBLAQIUABQAAAAIAIdO4kAgoP/2SQIAANIEAAAOAAAAAAAA&#10;AAEAIAAAACUBAABkcnMvZTJvRG9jLnhtbFBLBQYAAAAABgAGAFkBAADgBQAAAAA=&#10;" adj="16200,5400">
                <v:fill on="t" focussize="0,0"/>
                <v:stroke color="#000000" miterlimit="8" joinstyle="miter"/>
                <v:imagedata o:title=""/>
                <o:lock v:ext="edit" aspectratio="f"/>
                <v:textbox style="layout-flow:vertical-ideographic;"/>
              </v:shape>
            </w:pict>
          </mc:Fallback>
        </mc:AlternateContent>
      </w:r>
    </w:p>
    <w:p w14:paraId="4155CB1F">
      <w:pPr>
        <w:tabs>
          <w:tab w:val="left" w:pos="360"/>
        </w:tabs>
        <w:jc w:val="both"/>
        <w:rPr>
          <w:rFonts w:ascii="Arial" w:hAnsi="Arial" w:cs="Arial"/>
          <w:bCs/>
          <w:sz w:val="18"/>
          <w:szCs w:val="18"/>
        </w:rPr>
      </w:pPr>
    </w:p>
    <w:tbl>
      <w:tblPr>
        <w:tblStyle w:val="5"/>
        <w:tblW w:w="3604" w:type="dxa"/>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04"/>
      </w:tblGrid>
      <w:tr w14:paraId="1E8A5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3604" w:type="dxa"/>
            <w:shd w:val="clear" w:color="auto" w:fill="auto"/>
          </w:tcPr>
          <w:p w14:paraId="135E2A53">
            <w:pPr>
              <w:tabs>
                <w:tab w:val="left" w:pos="360"/>
              </w:tabs>
              <w:jc w:val="both"/>
              <w:rPr>
                <w:rFonts w:ascii="Arial" w:hAnsi="Arial" w:cs="Arial"/>
                <w:bCs/>
                <w:sz w:val="18"/>
                <w:szCs w:val="18"/>
              </w:rPr>
            </w:pPr>
            <w:r>
              <w:rPr>
                <w:rFonts w:ascii="Arial" w:hAnsi="Arial" w:cs="Arial"/>
                <w:bCs/>
                <w:sz w:val="18"/>
                <w:szCs w:val="18"/>
              </w:rPr>
              <w:t>Apply plate sealer and incubate for 20 minutes at 18-25°C in dark</w:t>
            </w:r>
          </w:p>
        </w:tc>
      </w:tr>
    </w:tbl>
    <w:p w14:paraId="3D754E27">
      <w:pPr>
        <w:tabs>
          <w:tab w:val="left" w:pos="360"/>
        </w:tabs>
        <w:ind w:left="360" w:hanging="360"/>
        <w:jc w:val="both"/>
        <w:rPr>
          <w:rFonts w:ascii="Arial" w:hAnsi="Arial" w:cs="Arial"/>
          <w:bCs/>
          <w:sz w:val="18"/>
          <w:szCs w:val="18"/>
        </w:rPr>
      </w:pPr>
      <w:r>
        <w:rPr>
          <w:rFonts w:ascii="Arial" w:hAnsi="Arial" w:cs="Arial"/>
          <w:bCs/>
          <w:sz w:val="18"/>
          <w:szCs w:val="18"/>
        </w:rPr>
        <mc:AlternateContent>
          <mc:Choice Requires="wps">
            <w:drawing>
              <wp:anchor distT="0" distB="0" distL="114300" distR="114300" simplePos="0" relativeHeight="251667456" behindDoc="0" locked="0" layoutInCell="1" allowOverlap="1">
                <wp:simplePos x="0" y="0"/>
                <wp:positionH relativeFrom="column">
                  <wp:posOffset>1314450</wp:posOffset>
                </wp:positionH>
                <wp:positionV relativeFrom="paragraph">
                  <wp:posOffset>1270</wp:posOffset>
                </wp:positionV>
                <wp:extent cx="76200" cy="266700"/>
                <wp:effectExtent l="19050" t="0" r="38100" b="38100"/>
                <wp:wrapNone/>
                <wp:docPr id="2109035420" name="AutoShape 17"/>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w:pict>
              <v:shape id="AutoShape 17" o:spid="_x0000_s1026" o:spt="67" type="#_x0000_t67" style="position:absolute;left:0pt;margin-left:103.5pt;margin-top:0.1pt;height:21pt;width:6pt;z-index:251667456;mso-width-relative:page;mso-height-relative:page;" fillcolor="#000000" filled="t" stroked="t" coordsize="21600,21600" o:gfxdata="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BMy0FNUAAAAHAQAADwAAAAAAAAABACAA&#10;AAAiAAAAZHJzL2Rvd25yZXYueG1sUEsBAhQAFAAAAAgAh07iQGDCphBJAgAA0gQAAA4AAAAAAAAA&#10;AQAgAAAAJAEAAGRycy9lMm9Eb2MueG1sUEsFBgAAAAAGAAYAWQEAAN8FAAAAAA==&#10;" adj="16200,5400">
                <v:fill on="t" focussize="0,0"/>
                <v:stroke color="#000000" miterlimit="8" joinstyle="miter"/>
                <v:imagedata o:title=""/>
                <o:lock v:ext="edit" aspectratio="f"/>
                <v:textbox style="layout-flow:vertical-ideographic;"/>
              </v:shape>
            </w:pict>
          </mc:Fallback>
        </mc:AlternateContent>
      </w:r>
    </w:p>
    <w:p w14:paraId="58440C94">
      <w:pPr>
        <w:tabs>
          <w:tab w:val="left" w:pos="360"/>
        </w:tabs>
        <w:ind w:left="360" w:hanging="360"/>
        <w:jc w:val="both"/>
        <w:rPr>
          <w:rFonts w:ascii="Arial" w:hAnsi="Arial" w:cs="Arial"/>
          <w:bCs/>
          <w:sz w:val="18"/>
          <w:szCs w:val="18"/>
        </w:rPr>
      </w:pPr>
    </w:p>
    <w:tbl>
      <w:tblPr>
        <w:tblStyle w:val="5"/>
        <w:tblW w:w="3604" w:type="dxa"/>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04"/>
      </w:tblGrid>
      <w:tr w14:paraId="276D8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04" w:type="dxa"/>
            <w:shd w:val="clear" w:color="auto" w:fill="auto"/>
          </w:tcPr>
          <w:p w14:paraId="45A35E82">
            <w:pPr>
              <w:tabs>
                <w:tab w:val="left" w:pos="360"/>
              </w:tabs>
              <w:jc w:val="both"/>
              <w:rPr>
                <w:rFonts w:ascii="Arial" w:hAnsi="Arial" w:cs="Arial"/>
                <w:bCs/>
                <w:sz w:val="18"/>
                <w:szCs w:val="18"/>
              </w:rPr>
            </w:pPr>
            <w:r>
              <w:rPr>
                <w:rFonts w:ascii="Arial" w:hAnsi="Arial" w:cs="Arial"/>
                <w:bCs/>
                <w:sz w:val="18"/>
                <w:szCs w:val="18"/>
              </w:rPr>
              <w:t>Add 100 μl stop solution in each well</w:t>
            </w:r>
          </w:p>
        </w:tc>
      </w:tr>
    </w:tbl>
    <w:p w14:paraId="30981002">
      <w:pPr>
        <w:tabs>
          <w:tab w:val="left" w:pos="360"/>
        </w:tabs>
        <w:jc w:val="both"/>
        <w:rPr>
          <w:rFonts w:ascii="Arial" w:hAnsi="Arial" w:cs="Arial"/>
          <w:bCs/>
          <w:sz w:val="18"/>
          <w:szCs w:val="18"/>
        </w:rPr>
      </w:pPr>
      <w:r>
        <w:rPr>
          <w:rFonts w:ascii="Arial" w:hAnsi="Arial" w:cs="Arial"/>
          <w:bCs/>
          <w:sz w:val="18"/>
          <w:szCs w:val="18"/>
        </w:rPr>
        <mc:AlternateContent>
          <mc:Choice Requires="wps">
            <w:drawing>
              <wp:anchor distT="0" distB="0" distL="114300" distR="114300" simplePos="0" relativeHeight="251669504" behindDoc="0" locked="0" layoutInCell="1" allowOverlap="1">
                <wp:simplePos x="0" y="0"/>
                <wp:positionH relativeFrom="column">
                  <wp:posOffset>1314450</wp:posOffset>
                </wp:positionH>
                <wp:positionV relativeFrom="paragraph">
                  <wp:posOffset>8255</wp:posOffset>
                </wp:positionV>
                <wp:extent cx="76200" cy="266700"/>
                <wp:effectExtent l="19050" t="0" r="38100" b="38100"/>
                <wp:wrapNone/>
                <wp:docPr id="210060902" name="AutoShape 17"/>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w:pict>
              <v:shape id="AutoShape 17" o:spid="_x0000_s1026" o:spt="67" type="#_x0000_t67" style="position:absolute;left:0pt;margin-left:103.5pt;margin-top:0.65pt;height:21pt;width:6pt;z-index:251669504;mso-width-relative:page;mso-height-relative:page;" fillcolor="#000000" filled="t" stroked="t" coordsize="21600,21600" o:gfxdata="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CCu0WfXAAAACAEAAA8AAAAAAAAAAQAg&#10;AAAAIgAAAGRycy9kb3ducmV2LnhtbFBLAQIUABQAAAAIAIdO4kDGevdmSAIAANEEAAAOAAAAAAAA&#10;AAEAIAAAACYBAABkcnMvZTJvRG9jLnhtbFBLBQYAAAAABgAGAFkBAADgBQAAAAA=&#10;" adj="16200,5400">
                <v:fill on="t" focussize="0,0"/>
                <v:stroke color="#000000" miterlimit="8" joinstyle="miter"/>
                <v:imagedata o:title=""/>
                <o:lock v:ext="edit" aspectratio="f"/>
                <v:textbox style="layout-flow:vertical-ideographic;"/>
              </v:shape>
            </w:pict>
          </mc:Fallback>
        </mc:AlternateContent>
      </w:r>
    </w:p>
    <w:p w14:paraId="54AAF7D7">
      <w:pPr>
        <w:tabs>
          <w:tab w:val="left" w:pos="360"/>
        </w:tabs>
        <w:jc w:val="both"/>
        <w:rPr>
          <w:rFonts w:ascii="Arial" w:hAnsi="Arial" w:cs="Arial"/>
          <w:bCs/>
          <w:sz w:val="18"/>
          <w:szCs w:val="18"/>
        </w:rPr>
      </w:pPr>
    </w:p>
    <w:tbl>
      <w:tblPr>
        <w:tblStyle w:val="5"/>
        <w:tblW w:w="3604" w:type="dxa"/>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04"/>
      </w:tblGrid>
      <w:tr w14:paraId="25F53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04" w:type="dxa"/>
            <w:shd w:val="clear" w:color="auto" w:fill="auto"/>
          </w:tcPr>
          <w:p w14:paraId="3DF2C826">
            <w:pPr>
              <w:tabs>
                <w:tab w:val="left" w:pos="360"/>
              </w:tabs>
              <w:jc w:val="both"/>
              <w:rPr>
                <w:rFonts w:ascii="Arial" w:hAnsi="Arial" w:cs="Arial"/>
                <w:bCs/>
                <w:sz w:val="18"/>
                <w:szCs w:val="18"/>
              </w:rPr>
            </w:pPr>
            <w:r>
              <w:rPr>
                <w:rFonts w:ascii="Arial" w:hAnsi="Arial" w:cs="Arial"/>
                <w:bCs/>
                <w:sz w:val="18"/>
                <w:szCs w:val="18"/>
              </w:rPr>
              <w:t>Read results @450nm (Ref.600-700nm) within 15 minutes</w:t>
            </w:r>
          </w:p>
        </w:tc>
      </w:tr>
    </w:tbl>
    <w:p w14:paraId="64F40954">
      <w:pPr>
        <w:tabs>
          <w:tab w:val="left" w:pos="360"/>
        </w:tabs>
        <w:jc w:val="both"/>
        <w:rPr>
          <w:rFonts w:ascii="Arial" w:hAnsi="Arial" w:cs="Arial"/>
          <w:bCs/>
          <w:sz w:val="18"/>
          <w:szCs w:val="18"/>
        </w:rPr>
      </w:pPr>
    </w:p>
    <w:p w14:paraId="0116DB0C">
      <w:pPr>
        <w:tabs>
          <w:tab w:val="left" w:pos="360"/>
        </w:tabs>
        <w:jc w:val="both"/>
        <w:rPr>
          <w:rFonts w:ascii="Arial" w:hAnsi="Arial" w:cs="Arial"/>
          <w:bCs/>
          <w:sz w:val="18"/>
          <w:szCs w:val="18"/>
        </w:rPr>
      </w:pPr>
      <w:r>
        <w:rPr>
          <w:rFonts w:ascii="Arial" w:hAnsi="Arial" w:cs="Arial"/>
          <w:bCs/>
          <w:sz w:val="18"/>
          <w:szCs w:val="18"/>
        </w:rPr>
        <w:t>RUN CRITERIA</w:t>
      </w:r>
    </w:p>
    <w:p w14:paraId="64DE14AD">
      <w:pPr>
        <w:tabs>
          <w:tab w:val="left" w:pos="360"/>
        </w:tabs>
        <w:jc w:val="both"/>
        <w:rPr>
          <w:rFonts w:ascii="Arial" w:hAnsi="Arial" w:cs="Arial"/>
          <w:bCs/>
          <w:sz w:val="18"/>
          <w:szCs w:val="18"/>
        </w:rPr>
      </w:pPr>
      <w:r>
        <w:rPr>
          <w:rFonts w:ascii="Arial" w:hAnsi="Arial" w:cs="Arial"/>
          <w:bCs/>
          <w:sz w:val="18"/>
          <w:szCs w:val="18"/>
        </w:rPr>
        <w:t>The test run may be considered valid provided the following criteria are met:</w:t>
      </w:r>
    </w:p>
    <w:p w14:paraId="36CC2F54">
      <w:pPr>
        <w:pStyle w:val="13"/>
        <w:numPr>
          <w:ilvl w:val="1"/>
          <w:numId w:val="2"/>
        </w:numPr>
        <w:tabs>
          <w:tab w:val="left" w:pos="360"/>
        </w:tabs>
        <w:ind w:left="284" w:hanging="284"/>
        <w:jc w:val="both"/>
        <w:rPr>
          <w:rFonts w:ascii="Arial" w:hAnsi="Arial" w:cs="Arial"/>
          <w:bCs/>
          <w:sz w:val="18"/>
          <w:szCs w:val="18"/>
        </w:rPr>
      </w:pPr>
      <w:r>
        <w:rPr>
          <w:rFonts w:ascii="Arial" w:hAnsi="Arial" w:cs="Arial"/>
          <w:bCs/>
          <w:sz w:val="18"/>
          <w:szCs w:val="18"/>
        </w:rPr>
        <w:t>The O.D. value of the reagent blank against air from a microwell reader should be less than 0.150.</w:t>
      </w:r>
    </w:p>
    <w:p w14:paraId="52407FD5">
      <w:pPr>
        <w:pStyle w:val="13"/>
        <w:numPr>
          <w:ilvl w:val="1"/>
          <w:numId w:val="2"/>
        </w:numPr>
        <w:tabs>
          <w:tab w:val="left" w:pos="360"/>
        </w:tabs>
        <w:ind w:left="284" w:hanging="284"/>
        <w:jc w:val="both"/>
        <w:rPr>
          <w:rFonts w:ascii="Arial" w:hAnsi="Arial" w:cs="Arial"/>
          <w:bCs/>
          <w:sz w:val="18"/>
          <w:szCs w:val="18"/>
        </w:rPr>
      </w:pPr>
      <w:r>
        <w:rPr>
          <w:rFonts w:ascii="Arial" w:hAnsi="Arial" w:cs="Arial"/>
          <w:bCs/>
          <w:sz w:val="18"/>
          <w:szCs w:val="18"/>
        </w:rPr>
        <w:t>If the O.D. value of the Calibrator is lower than 0.250, the test is not valid and must be repeated.</w:t>
      </w:r>
    </w:p>
    <w:p w14:paraId="0F74F1D0">
      <w:pPr>
        <w:pStyle w:val="13"/>
        <w:numPr>
          <w:ilvl w:val="1"/>
          <w:numId w:val="2"/>
        </w:numPr>
        <w:tabs>
          <w:tab w:val="left" w:pos="360"/>
        </w:tabs>
        <w:ind w:left="284" w:hanging="284"/>
        <w:jc w:val="both"/>
        <w:rPr>
          <w:rFonts w:ascii="Arial" w:hAnsi="Arial" w:cs="Arial"/>
          <w:bCs/>
          <w:sz w:val="18"/>
          <w:szCs w:val="18"/>
        </w:rPr>
      </w:pPr>
      <w:r>
        <w:rPr>
          <w:rFonts w:ascii="Arial" w:hAnsi="Arial" w:cs="Arial"/>
          <w:bCs/>
          <w:sz w:val="18"/>
          <w:szCs w:val="18"/>
        </w:rPr>
        <w:t>The HSV 1,2 IgG Index for Negative and Positive Control should be in the range stated on the labels.</w:t>
      </w:r>
    </w:p>
    <w:p w14:paraId="146D6D77">
      <w:pPr>
        <w:tabs>
          <w:tab w:val="left" w:pos="360"/>
        </w:tabs>
        <w:jc w:val="both"/>
        <w:rPr>
          <w:rFonts w:ascii="Arial" w:hAnsi="Arial" w:cs="Arial"/>
          <w:bCs/>
          <w:sz w:val="18"/>
          <w:szCs w:val="18"/>
        </w:rPr>
      </w:pPr>
    </w:p>
    <w:p w14:paraId="450D2AD9">
      <w:pPr>
        <w:tabs>
          <w:tab w:val="left" w:pos="360"/>
        </w:tabs>
        <w:jc w:val="both"/>
        <w:rPr>
          <w:rFonts w:ascii="Arial" w:hAnsi="Arial" w:cs="Arial"/>
          <w:bCs/>
          <w:sz w:val="18"/>
          <w:szCs w:val="18"/>
        </w:rPr>
      </w:pPr>
      <w:r>
        <w:rPr>
          <w:rFonts w:ascii="Arial" w:hAnsi="Arial" w:cs="Arial"/>
          <w:bCs/>
          <w:sz w:val="18"/>
          <w:szCs w:val="18"/>
        </w:rPr>
        <w:t>CALCULATION OF RESULTS</w:t>
      </w:r>
    </w:p>
    <w:p w14:paraId="25319EA6">
      <w:pPr>
        <w:pStyle w:val="13"/>
        <w:numPr>
          <w:ilvl w:val="0"/>
          <w:numId w:val="7"/>
        </w:numPr>
        <w:tabs>
          <w:tab w:val="left" w:pos="360"/>
        </w:tabs>
        <w:ind w:left="284" w:hanging="284"/>
        <w:jc w:val="both"/>
        <w:rPr>
          <w:rFonts w:ascii="Arial" w:hAnsi="Arial" w:cs="Arial"/>
          <w:bCs/>
          <w:sz w:val="18"/>
          <w:szCs w:val="18"/>
        </w:rPr>
      </w:pPr>
      <w:r>
        <w:rPr>
          <w:rFonts w:ascii="Arial" w:hAnsi="Arial" w:cs="Arial"/>
          <w:bCs/>
          <w:sz w:val="18"/>
          <w:szCs w:val="18"/>
        </w:rPr>
        <w:t>To obtain Cut off Value (COV): Multiply the O.D of Calibrator by Factor (f) (which is lot specific &amp; will be printed on the label of the calibrator vial).</w:t>
      </w:r>
    </w:p>
    <w:p w14:paraId="7BA01BA5">
      <w:pPr>
        <w:pStyle w:val="13"/>
        <w:numPr>
          <w:ilvl w:val="0"/>
          <w:numId w:val="7"/>
        </w:numPr>
        <w:tabs>
          <w:tab w:val="left" w:pos="360"/>
        </w:tabs>
        <w:ind w:left="284" w:hanging="284"/>
        <w:jc w:val="both"/>
        <w:rPr>
          <w:rFonts w:ascii="Arial" w:hAnsi="Arial" w:cs="Arial"/>
          <w:bCs/>
          <w:sz w:val="18"/>
          <w:szCs w:val="18"/>
        </w:rPr>
      </w:pPr>
      <w:r>
        <w:rPr>
          <w:rFonts w:ascii="Arial" w:hAnsi="Arial" w:cs="Arial"/>
          <w:bCs/>
          <w:sz w:val="18"/>
          <w:szCs w:val="18"/>
        </w:rPr>
        <w:t>Calculate HSV 1,2 IgG Index of each determination by dividing the OD values of each sample by obtained OD value of Cut off.</w:t>
      </w:r>
    </w:p>
    <w:p w14:paraId="485184DF">
      <w:pPr>
        <w:tabs>
          <w:tab w:val="left" w:pos="360"/>
        </w:tabs>
        <w:ind w:left="284" w:hanging="284"/>
        <w:jc w:val="both"/>
        <w:rPr>
          <w:rFonts w:ascii="Arial" w:hAnsi="Arial" w:cs="Arial"/>
          <w:bCs/>
          <w:sz w:val="18"/>
          <w:szCs w:val="18"/>
        </w:rPr>
      </w:pPr>
    </w:p>
    <w:p w14:paraId="7A6349A2">
      <w:pPr>
        <w:tabs>
          <w:tab w:val="left" w:pos="360"/>
        </w:tabs>
        <w:jc w:val="both"/>
        <w:rPr>
          <w:rFonts w:ascii="Arial" w:hAnsi="Arial" w:cs="Arial"/>
          <w:bCs/>
          <w:sz w:val="18"/>
          <w:szCs w:val="18"/>
        </w:rPr>
      </w:pPr>
      <w:r>
        <w:rPr>
          <w:rFonts w:ascii="Arial" w:hAnsi="Arial" w:cs="Arial"/>
          <w:bCs/>
          <w:sz w:val="18"/>
          <w:szCs w:val="18"/>
        </w:rPr>
        <w:t>For example:</w:t>
      </w:r>
    </w:p>
    <w:p w14:paraId="4E0CB7E6">
      <w:pPr>
        <w:tabs>
          <w:tab w:val="left" w:pos="360"/>
        </w:tabs>
        <w:jc w:val="both"/>
        <w:rPr>
          <w:rFonts w:ascii="Arial" w:hAnsi="Arial" w:cs="Arial"/>
          <w:bCs/>
          <w:sz w:val="18"/>
          <w:szCs w:val="18"/>
        </w:rPr>
      </w:pPr>
      <w:r>
        <w:rPr>
          <w:rFonts w:ascii="Arial" w:hAnsi="Arial" w:cs="Arial"/>
          <w:bCs/>
          <w:sz w:val="18"/>
          <w:szCs w:val="18"/>
        </w:rPr>
        <w:t>If the Factor (f) value on the label = 0.5</w:t>
      </w:r>
    </w:p>
    <w:p w14:paraId="58F7C9B2">
      <w:pPr>
        <w:tabs>
          <w:tab w:val="left" w:pos="360"/>
        </w:tabs>
        <w:jc w:val="both"/>
        <w:rPr>
          <w:rFonts w:ascii="Arial" w:hAnsi="Arial" w:cs="Arial"/>
          <w:bCs/>
          <w:sz w:val="18"/>
          <w:szCs w:val="18"/>
        </w:rPr>
      </w:pPr>
      <w:r>
        <w:rPr>
          <w:rFonts w:ascii="Arial" w:hAnsi="Arial" w:cs="Arial"/>
          <w:bCs/>
          <w:sz w:val="18"/>
          <w:szCs w:val="18"/>
        </w:rPr>
        <w:t>Calibrator O.D. = 2.224</w:t>
      </w:r>
    </w:p>
    <w:p w14:paraId="35019505">
      <w:pPr>
        <w:tabs>
          <w:tab w:val="left" w:pos="360"/>
        </w:tabs>
        <w:jc w:val="both"/>
        <w:rPr>
          <w:rFonts w:ascii="Arial" w:hAnsi="Arial" w:cs="Arial"/>
          <w:bCs/>
          <w:sz w:val="18"/>
          <w:szCs w:val="18"/>
        </w:rPr>
      </w:pPr>
      <w:r>
        <w:rPr>
          <w:rFonts w:ascii="Arial" w:hAnsi="Arial" w:cs="Arial"/>
          <w:bCs/>
          <w:sz w:val="18"/>
          <w:szCs w:val="18"/>
        </w:rPr>
        <w:t>COV = 2.224 x 0.5 = 1.11</w:t>
      </w:r>
    </w:p>
    <w:p w14:paraId="18BEB51D">
      <w:pPr>
        <w:tabs>
          <w:tab w:val="left" w:pos="360"/>
        </w:tabs>
        <w:jc w:val="both"/>
        <w:rPr>
          <w:rFonts w:ascii="Arial" w:hAnsi="Arial" w:cs="Arial"/>
          <w:bCs/>
          <w:sz w:val="18"/>
          <w:szCs w:val="18"/>
        </w:rPr>
      </w:pPr>
      <w:r>
        <w:rPr>
          <w:rFonts w:ascii="Arial" w:hAnsi="Arial" w:cs="Arial"/>
          <w:bCs/>
          <w:sz w:val="18"/>
          <w:szCs w:val="18"/>
        </w:rPr>
        <w:t>Patient sample O.D. = 2.009</w:t>
      </w:r>
    </w:p>
    <w:p w14:paraId="6736DA45">
      <w:pPr>
        <w:tabs>
          <w:tab w:val="left" w:pos="360"/>
        </w:tabs>
        <w:jc w:val="both"/>
        <w:rPr>
          <w:rFonts w:ascii="Arial" w:hAnsi="Arial" w:cs="Arial"/>
          <w:bCs/>
          <w:sz w:val="18"/>
          <w:szCs w:val="18"/>
        </w:rPr>
      </w:pPr>
      <w:r>
        <w:rPr>
          <w:rFonts w:ascii="Arial" w:hAnsi="Arial" w:cs="Arial"/>
          <w:bCs/>
          <w:sz w:val="18"/>
          <w:szCs w:val="18"/>
        </w:rPr>
        <w:t>HSV 1 IgG Index = 2.009/1.11 = 1.887 (Positive result)</w:t>
      </w:r>
    </w:p>
    <w:p w14:paraId="3E6086DF">
      <w:pPr>
        <w:tabs>
          <w:tab w:val="left" w:pos="360"/>
        </w:tabs>
        <w:jc w:val="both"/>
        <w:rPr>
          <w:rFonts w:ascii="Arial" w:hAnsi="Arial" w:cs="Arial"/>
          <w:bCs/>
          <w:sz w:val="18"/>
          <w:szCs w:val="18"/>
        </w:rPr>
      </w:pPr>
      <w:r>
        <w:rPr>
          <w:rFonts w:ascii="Arial" w:hAnsi="Arial" w:cs="Arial"/>
          <w:bCs/>
          <w:sz w:val="18"/>
          <w:szCs w:val="18"/>
        </w:rPr>
        <w:t>Patient sample O.D. = 0.088</w:t>
      </w:r>
    </w:p>
    <w:p w14:paraId="73BB3A4D">
      <w:pPr>
        <w:tabs>
          <w:tab w:val="left" w:pos="360"/>
        </w:tabs>
        <w:jc w:val="both"/>
        <w:rPr>
          <w:rFonts w:ascii="Arial" w:hAnsi="Arial" w:cs="Arial"/>
          <w:bCs/>
          <w:sz w:val="18"/>
          <w:szCs w:val="18"/>
        </w:rPr>
      </w:pPr>
      <w:r>
        <w:rPr>
          <w:rFonts w:ascii="Arial" w:hAnsi="Arial" w:cs="Arial"/>
          <w:bCs/>
          <w:sz w:val="18"/>
          <w:szCs w:val="18"/>
        </w:rPr>
        <w:t>HSV 1 IgG Index = 0.088/1.11 = 0.079 (Negative result).</w:t>
      </w:r>
    </w:p>
    <w:p w14:paraId="74391E23">
      <w:pPr>
        <w:tabs>
          <w:tab w:val="left" w:pos="360"/>
        </w:tabs>
        <w:jc w:val="both"/>
        <w:rPr>
          <w:rFonts w:ascii="Arial" w:hAnsi="Arial" w:cs="Arial"/>
          <w:bCs/>
          <w:sz w:val="18"/>
          <w:szCs w:val="18"/>
        </w:rPr>
      </w:pPr>
    </w:p>
    <w:p w14:paraId="7384A2CE">
      <w:pPr>
        <w:tabs>
          <w:tab w:val="left" w:pos="360"/>
        </w:tabs>
        <w:jc w:val="both"/>
        <w:rPr>
          <w:rFonts w:ascii="Arial" w:hAnsi="Arial" w:cs="Arial"/>
          <w:bCs/>
          <w:sz w:val="18"/>
          <w:szCs w:val="18"/>
        </w:rPr>
      </w:pPr>
    </w:p>
    <w:p w14:paraId="70B892CE">
      <w:pPr>
        <w:tabs>
          <w:tab w:val="left" w:pos="360"/>
        </w:tabs>
        <w:jc w:val="both"/>
        <w:rPr>
          <w:rFonts w:ascii="Arial" w:hAnsi="Arial" w:cs="Arial"/>
          <w:bCs/>
          <w:sz w:val="18"/>
          <w:szCs w:val="18"/>
        </w:rPr>
      </w:pPr>
    </w:p>
    <w:p w14:paraId="227061A8">
      <w:pPr>
        <w:tabs>
          <w:tab w:val="left" w:pos="360"/>
        </w:tabs>
        <w:jc w:val="both"/>
        <w:rPr>
          <w:rFonts w:ascii="Arial" w:hAnsi="Arial" w:cs="Arial"/>
          <w:bCs/>
          <w:sz w:val="18"/>
          <w:szCs w:val="18"/>
        </w:rPr>
      </w:pPr>
      <w:r>
        <w:rPr>
          <w:rFonts w:ascii="Arial" w:hAnsi="Arial" w:cs="Arial"/>
          <w:bCs/>
          <w:sz w:val="18"/>
          <w:szCs w:val="18"/>
        </w:rPr>
        <w:t>INTERPRETATION OF THE RESULT</w:t>
      </w:r>
    </w:p>
    <w:p w14:paraId="4C5F2FF0">
      <w:pPr>
        <w:tabs>
          <w:tab w:val="left" w:pos="360"/>
        </w:tabs>
        <w:jc w:val="both"/>
        <w:rPr>
          <w:rFonts w:ascii="Arial" w:hAnsi="Arial" w:cs="Arial"/>
          <w:bCs/>
          <w:sz w:val="18"/>
          <w:szCs w:val="18"/>
        </w:rPr>
      </w:pPr>
    </w:p>
    <w:tbl>
      <w:tblPr>
        <w:tblStyle w:val="11"/>
        <w:tblW w:w="42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05"/>
        <w:gridCol w:w="1843"/>
      </w:tblGrid>
      <w:tr w14:paraId="3EAC8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tcPr>
          <w:p w14:paraId="0AF3730D">
            <w:pPr>
              <w:tabs>
                <w:tab w:val="left" w:pos="360"/>
              </w:tabs>
              <w:jc w:val="both"/>
              <w:rPr>
                <w:rFonts w:ascii="Arial" w:hAnsi="Arial" w:cs="Arial"/>
                <w:b/>
                <w:bCs/>
                <w:sz w:val="18"/>
                <w:szCs w:val="18"/>
              </w:rPr>
            </w:pPr>
            <w:r>
              <w:rPr>
                <w:b/>
                <w:bCs/>
              </w:rPr>
              <w:t>HSV 1,2 IgG Index Value</w:t>
            </w:r>
          </w:p>
        </w:tc>
        <w:tc>
          <w:tcPr>
            <w:tcW w:w="1843" w:type="dxa"/>
          </w:tcPr>
          <w:p w14:paraId="38917118">
            <w:pPr>
              <w:tabs>
                <w:tab w:val="left" w:pos="360"/>
              </w:tabs>
              <w:jc w:val="both"/>
              <w:rPr>
                <w:rFonts w:ascii="Arial" w:hAnsi="Arial" w:cs="Arial"/>
                <w:b/>
                <w:bCs/>
                <w:sz w:val="18"/>
                <w:szCs w:val="18"/>
              </w:rPr>
            </w:pPr>
            <w:r>
              <w:rPr>
                <w:b/>
                <w:bCs/>
              </w:rPr>
              <w:t>Result</w:t>
            </w:r>
          </w:p>
        </w:tc>
      </w:tr>
      <w:tr w14:paraId="3A762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tcPr>
          <w:p w14:paraId="3289B986">
            <w:pPr>
              <w:tabs>
                <w:tab w:val="left" w:pos="360"/>
              </w:tabs>
              <w:jc w:val="both"/>
              <w:rPr>
                <w:rFonts w:ascii="Arial" w:hAnsi="Arial" w:cs="Arial"/>
                <w:bCs/>
                <w:sz w:val="18"/>
                <w:szCs w:val="18"/>
              </w:rPr>
            </w:pPr>
            <w:r>
              <w:t>HSV 1,2 IgG Index value &lt;0.90</w:t>
            </w:r>
          </w:p>
        </w:tc>
        <w:tc>
          <w:tcPr>
            <w:tcW w:w="1843" w:type="dxa"/>
          </w:tcPr>
          <w:p w14:paraId="689F185A">
            <w:pPr>
              <w:tabs>
                <w:tab w:val="left" w:pos="360"/>
              </w:tabs>
              <w:jc w:val="both"/>
              <w:rPr>
                <w:rFonts w:ascii="Arial" w:hAnsi="Arial" w:cs="Arial"/>
                <w:bCs/>
                <w:sz w:val="18"/>
                <w:szCs w:val="18"/>
              </w:rPr>
            </w:pPr>
            <w:r>
              <w:t>Negative for IgG antibody to HSV 1,2</w:t>
            </w:r>
          </w:p>
        </w:tc>
      </w:tr>
      <w:tr w14:paraId="6A547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tcPr>
          <w:p w14:paraId="4C3D26FC">
            <w:pPr>
              <w:tabs>
                <w:tab w:val="left" w:pos="360"/>
              </w:tabs>
              <w:jc w:val="both"/>
              <w:rPr>
                <w:rFonts w:ascii="Arial" w:hAnsi="Arial" w:cs="Arial"/>
                <w:bCs/>
                <w:sz w:val="18"/>
                <w:szCs w:val="18"/>
              </w:rPr>
            </w:pPr>
            <w:r>
              <w:t>HSV1, 2 IgG Index value 0.91-1.19</w:t>
            </w:r>
          </w:p>
        </w:tc>
        <w:tc>
          <w:tcPr>
            <w:tcW w:w="1843" w:type="dxa"/>
          </w:tcPr>
          <w:p w14:paraId="7D3EB937">
            <w:pPr>
              <w:tabs>
                <w:tab w:val="left" w:pos="360"/>
              </w:tabs>
              <w:jc w:val="both"/>
              <w:rPr>
                <w:rFonts w:ascii="Arial" w:hAnsi="Arial" w:cs="Arial"/>
                <w:bCs/>
                <w:sz w:val="18"/>
                <w:szCs w:val="18"/>
              </w:rPr>
            </w:pPr>
            <w:r>
              <w:t>Equivocal, sample should be retested</w:t>
            </w:r>
          </w:p>
        </w:tc>
      </w:tr>
      <w:tr w14:paraId="44D56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tcPr>
          <w:p w14:paraId="297581A7">
            <w:pPr>
              <w:tabs>
                <w:tab w:val="left" w:pos="360"/>
              </w:tabs>
              <w:jc w:val="both"/>
              <w:rPr>
                <w:rFonts w:ascii="Arial" w:hAnsi="Arial" w:cs="Arial"/>
                <w:bCs/>
                <w:sz w:val="18"/>
                <w:szCs w:val="18"/>
              </w:rPr>
            </w:pPr>
            <w:r>
              <w:t>HSV 1,2 IgG Index value &gt;1.2</w:t>
            </w:r>
          </w:p>
        </w:tc>
        <w:tc>
          <w:tcPr>
            <w:tcW w:w="1843" w:type="dxa"/>
          </w:tcPr>
          <w:p w14:paraId="22B64081">
            <w:pPr>
              <w:tabs>
                <w:tab w:val="left" w:pos="360"/>
              </w:tabs>
              <w:jc w:val="both"/>
              <w:rPr>
                <w:rFonts w:ascii="Arial" w:hAnsi="Arial" w:cs="Arial"/>
                <w:bCs/>
                <w:sz w:val="18"/>
                <w:szCs w:val="18"/>
              </w:rPr>
            </w:pPr>
            <w:r>
              <w:t>Positive for IgG antibody to HSV 1,2</w:t>
            </w:r>
          </w:p>
        </w:tc>
      </w:tr>
    </w:tbl>
    <w:p w14:paraId="49D9CE83">
      <w:pPr>
        <w:tabs>
          <w:tab w:val="left" w:pos="360"/>
        </w:tabs>
        <w:jc w:val="both"/>
        <w:rPr>
          <w:rFonts w:ascii="Arial" w:hAnsi="Arial" w:cs="Arial"/>
          <w:bCs/>
          <w:sz w:val="18"/>
          <w:szCs w:val="18"/>
        </w:rPr>
      </w:pPr>
    </w:p>
    <w:p w14:paraId="5D0C7360">
      <w:pPr>
        <w:tabs>
          <w:tab w:val="left" w:pos="360"/>
        </w:tabs>
        <w:jc w:val="both"/>
        <w:rPr>
          <w:rFonts w:ascii="Arial" w:hAnsi="Arial" w:cs="Arial"/>
          <w:bCs/>
          <w:sz w:val="18"/>
          <w:szCs w:val="18"/>
        </w:rPr>
      </w:pPr>
    </w:p>
    <w:p w14:paraId="41B307C3">
      <w:pPr>
        <w:tabs>
          <w:tab w:val="left" w:pos="360"/>
        </w:tabs>
        <w:jc w:val="both"/>
        <w:rPr>
          <w:rFonts w:ascii="Arial" w:hAnsi="Arial" w:cs="Arial"/>
          <w:bCs/>
          <w:sz w:val="18"/>
          <w:szCs w:val="18"/>
        </w:rPr>
      </w:pPr>
      <w:r>
        <w:rPr>
          <w:rFonts w:ascii="Arial" w:hAnsi="Arial" w:cs="Arial"/>
          <w:bCs/>
          <w:sz w:val="18"/>
          <w:szCs w:val="18"/>
        </w:rPr>
        <w:t>PERFORMANCE CHARACTERISTICS</w:t>
      </w:r>
    </w:p>
    <w:p w14:paraId="16FA86EF">
      <w:pPr>
        <w:tabs>
          <w:tab w:val="left" w:pos="360"/>
        </w:tabs>
        <w:jc w:val="both"/>
        <w:rPr>
          <w:rFonts w:ascii="Arial" w:hAnsi="Arial" w:cs="Arial"/>
          <w:bCs/>
          <w:sz w:val="18"/>
          <w:szCs w:val="18"/>
        </w:rPr>
      </w:pPr>
      <w:r>
        <w:rPr>
          <w:rFonts w:ascii="Arial" w:hAnsi="Arial" w:cs="Arial"/>
          <w:bCs/>
          <w:sz w:val="18"/>
          <w:szCs w:val="18"/>
        </w:rPr>
        <w:t xml:space="preserve">The precision of the assay was evaluated by testing three different sera of eight replicates over a period of one week.  </w:t>
      </w:r>
    </w:p>
    <w:p w14:paraId="6EFA9105">
      <w:pPr>
        <w:tabs>
          <w:tab w:val="left" w:pos="360"/>
        </w:tabs>
        <w:jc w:val="both"/>
        <w:rPr>
          <w:rFonts w:ascii="Arial" w:hAnsi="Arial" w:cs="Arial"/>
          <w:bCs/>
          <w:sz w:val="18"/>
          <w:szCs w:val="18"/>
        </w:rPr>
      </w:pPr>
      <w:r>
        <w:rPr>
          <w:rFonts w:ascii="Arial" w:hAnsi="Arial" w:cs="Arial"/>
          <w:bCs/>
          <w:sz w:val="18"/>
          <w:szCs w:val="18"/>
        </w:rPr>
        <w:t>The intra-assay and inter-assay C.V. are summarized below:</w:t>
      </w:r>
    </w:p>
    <w:p w14:paraId="3F43EB94">
      <w:pPr>
        <w:tabs>
          <w:tab w:val="left" w:pos="360"/>
        </w:tabs>
        <w:jc w:val="both"/>
        <w:rPr>
          <w:rFonts w:ascii="Arial" w:hAnsi="Arial" w:cs="Arial"/>
          <w:bCs/>
          <w:sz w:val="18"/>
          <w:szCs w:val="18"/>
        </w:rPr>
      </w:pPr>
    </w:p>
    <w:tbl>
      <w:tblPr>
        <w:tblStyle w:val="11"/>
        <w:tblW w:w="4171" w:type="dxa"/>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6"/>
        <w:gridCol w:w="1134"/>
        <w:gridCol w:w="851"/>
        <w:gridCol w:w="850"/>
      </w:tblGrid>
      <w:tr w14:paraId="2A07A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tcPr>
          <w:p w14:paraId="0B9A3140">
            <w:pPr>
              <w:tabs>
                <w:tab w:val="left" w:pos="360"/>
              </w:tabs>
              <w:rPr>
                <w:rFonts w:ascii="Arial" w:hAnsi="Arial" w:cs="Arial"/>
                <w:bCs/>
                <w:sz w:val="18"/>
                <w:szCs w:val="18"/>
              </w:rPr>
            </w:pPr>
          </w:p>
        </w:tc>
        <w:tc>
          <w:tcPr>
            <w:tcW w:w="1134" w:type="dxa"/>
          </w:tcPr>
          <w:p w14:paraId="35601A46">
            <w:pPr>
              <w:tabs>
                <w:tab w:val="left" w:pos="360"/>
              </w:tabs>
              <w:rPr>
                <w:rFonts w:ascii="Arial" w:hAnsi="Arial" w:cs="Arial"/>
                <w:bCs/>
                <w:sz w:val="18"/>
                <w:szCs w:val="18"/>
              </w:rPr>
            </w:pPr>
            <w:r>
              <w:rPr>
                <w:rFonts w:ascii="Arial" w:hAnsi="Arial" w:cs="Arial"/>
                <w:bCs/>
                <w:sz w:val="18"/>
                <w:szCs w:val="18"/>
              </w:rPr>
              <w:t>Negative</w:t>
            </w:r>
          </w:p>
        </w:tc>
        <w:tc>
          <w:tcPr>
            <w:tcW w:w="851" w:type="dxa"/>
          </w:tcPr>
          <w:p w14:paraId="42DCC7D8">
            <w:pPr>
              <w:tabs>
                <w:tab w:val="left" w:pos="360"/>
              </w:tabs>
              <w:rPr>
                <w:rFonts w:ascii="Arial" w:hAnsi="Arial" w:cs="Arial"/>
                <w:bCs/>
                <w:sz w:val="18"/>
                <w:szCs w:val="18"/>
              </w:rPr>
            </w:pPr>
            <w:r>
              <w:rPr>
                <w:rFonts w:ascii="Arial" w:hAnsi="Arial" w:cs="Arial"/>
                <w:bCs/>
                <w:sz w:val="18"/>
                <w:szCs w:val="18"/>
              </w:rPr>
              <w:t>Low positive</w:t>
            </w:r>
          </w:p>
        </w:tc>
        <w:tc>
          <w:tcPr>
            <w:tcW w:w="850" w:type="dxa"/>
          </w:tcPr>
          <w:p w14:paraId="2AEB9032">
            <w:pPr>
              <w:tabs>
                <w:tab w:val="left" w:pos="360"/>
              </w:tabs>
              <w:rPr>
                <w:rFonts w:ascii="Arial" w:hAnsi="Arial" w:cs="Arial"/>
                <w:bCs/>
                <w:sz w:val="18"/>
                <w:szCs w:val="18"/>
              </w:rPr>
            </w:pPr>
            <w:r>
              <w:rPr>
                <w:rFonts w:ascii="Arial" w:hAnsi="Arial" w:cs="Arial"/>
                <w:bCs/>
                <w:sz w:val="18"/>
                <w:szCs w:val="18"/>
              </w:rPr>
              <w:t>Positive</w:t>
            </w:r>
          </w:p>
        </w:tc>
      </w:tr>
      <w:tr w14:paraId="18F19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tcPr>
          <w:p w14:paraId="02F01E19">
            <w:pPr>
              <w:tabs>
                <w:tab w:val="left" w:pos="360"/>
              </w:tabs>
              <w:rPr>
                <w:rFonts w:ascii="Arial" w:hAnsi="Arial" w:cs="Arial"/>
                <w:bCs/>
                <w:sz w:val="18"/>
                <w:szCs w:val="18"/>
              </w:rPr>
            </w:pPr>
            <w:r>
              <w:rPr>
                <w:rFonts w:ascii="Arial" w:hAnsi="Arial" w:cs="Arial"/>
                <w:bCs/>
                <w:sz w:val="18"/>
                <w:szCs w:val="18"/>
              </w:rPr>
              <w:t>Intra- assay</w:t>
            </w:r>
          </w:p>
        </w:tc>
        <w:tc>
          <w:tcPr>
            <w:tcW w:w="1134" w:type="dxa"/>
          </w:tcPr>
          <w:p w14:paraId="50BF6705">
            <w:pPr>
              <w:tabs>
                <w:tab w:val="left" w:pos="360"/>
              </w:tabs>
              <w:rPr>
                <w:rFonts w:ascii="Arial" w:hAnsi="Arial" w:cs="Arial"/>
                <w:bCs/>
                <w:sz w:val="18"/>
                <w:szCs w:val="18"/>
              </w:rPr>
            </w:pPr>
            <w:r>
              <w:rPr>
                <w:rFonts w:ascii="Arial" w:hAnsi="Arial" w:cs="Arial"/>
                <w:sz w:val="18"/>
                <w:szCs w:val="18"/>
              </w:rPr>
              <w:t>8.9 %</w:t>
            </w:r>
          </w:p>
        </w:tc>
        <w:tc>
          <w:tcPr>
            <w:tcW w:w="851" w:type="dxa"/>
          </w:tcPr>
          <w:p w14:paraId="59DFFEAA">
            <w:pPr>
              <w:tabs>
                <w:tab w:val="left" w:pos="360"/>
              </w:tabs>
              <w:rPr>
                <w:rFonts w:ascii="Arial" w:hAnsi="Arial" w:cs="Arial"/>
                <w:bCs/>
                <w:sz w:val="18"/>
                <w:szCs w:val="18"/>
              </w:rPr>
            </w:pPr>
            <w:r>
              <w:rPr>
                <w:rFonts w:ascii="Arial" w:hAnsi="Arial" w:cs="Arial"/>
                <w:sz w:val="18"/>
                <w:szCs w:val="18"/>
              </w:rPr>
              <w:t>7.9 %</w:t>
            </w:r>
          </w:p>
        </w:tc>
        <w:tc>
          <w:tcPr>
            <w:tcW w:w="850" w:type="dxa"/>
          </w:tcPr>
          <w:p w14:paraId="0139940E">
            <w:pPr>
              <w:tabs>
                <w:tab w:val="left" w:pos="360"/>
              </w:tabs>
              <w:rPr>
                <w:rFonts w:ascii="Arial" w:hAnsi="Arial" w:cs="Arial"/>
                <w:bCs/>
                <w:sz w:val="18"/>
                <w:szCs w:val="18"/>
              </w:rPr>
            </w:pPr>
            <w:r>
              <w:rPr>
                <w:rFonts w:ascii="Arial" w:hAnsi="Arial" w:cs="Arial"/>
                <w:sz w:val="18"/>
                <w:szCs w:val="18"/>
              </w:rPr>
              <w:t>6.8%</w:t>
            </w:r>
          </w:p>
        </w:tc>
      </w:tr>
      <w:tr w14:paraId="75FEE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tcPr>
          <w:p w14:paraId="08407F19">
            <w:pPr>
              <w:tabs>
                <w:tab w:val="left" w:pos="360"/>
              </w:tabs>
              <w:rPr>
                <w:rFonts w:ascii="Arial" w:hAnsi="Arial" w:cs="Arial"/>
                <w:bCs/>
                <w:sz w:val="18"/>
                <w:szCs w:val="18"/>
              </w:rPr>
            </w:pPr>
            <w:r>
              <w:rPr>
                <w:rFonts w:ascii="Arial" w:hAnsi="Arial" w:cs="Arial"/>
                <w:bCs/>
                <w:sz w:val="18"/>
                <w:szCs w:val="18"/>
              </w:rPr>
              <w:t>Inter-assay</w:t>
            </w:r>
          </w:p>
        </w:tc>
        <w:tc>
          <w:tcPr>
            <w:tcW w:w="1134" w:type="dxa"/>
          </w:tcPr>
          <w:p w14:paraId="2D58A016">
            <w:pPr>
              <w:tabs>
                <w:tab w:val="left" w:pos="360"/>
              </w:tabs>
              <w:rPr>
                <w:rFonts w:ascii="Arial" w:hAnsi="Arial" w:cs="Arial"/>
                <w:bCs/>
                <w:sz w:val="18"/>
                <w:szCs w:val="18"/>
              </w:rPr>
            </w:pPr>
            <w:r>
              <w:rPr>
                <w:rFonts w:ascii="Arial" w:hAnsi="Arial" w:cs="Arial"/>
                <w:sz w:val="18"/>
                <w:szCs w:val="18"/>
              </w:rPr>
              <w:t>10.3 %</w:t>
            </w:r>
          </w:p>
        </w:tc>
        <w:tc>
          <w:tcPr>
            <w:tcW w:w="851" w:type="dxa"/>
          </w:tcPr>
          <w:p w14:paraId="3C023E74">
            <w:pPr>
              <w:tabs>
                <w:tab w:val="left" w:pos="360"/>
              </w:tabs>
              <w:rPr>
                <w:rFonts w:ascii="Arial" w:hAnsi="Arial" w:cs="Arial"/>
                <w:bCs/>
                <w:sz w:val="18"/>
                <w:szCs w:val="18"/>
              </w:rPr>
            </w:pPr>
            <w:r>
              <w:rPr>
                <w:rFonts w:ascii="Arial" w:hAnsi="Arial" w:cs="Arial"/>
                <w:sz w:val="18"/>
                <w:szCs w:val="18"/>
              </w:rPr>
              <w:t>8.3 %</w:t>
            </w:r>
          </w:p>
        </w:tc>
        <w:tc>
          <w:tcPr>
            <w:tcW w:w="850" w:type="dxa"/>
          </w:tcPr>
          <w:p w14:paraId="3D22AACA">
            <w:pPr>
              <w:tabs>
                <w:tab w:val="left" w:pos="360"/>
              </w:tabs>
              <w:rPr>
                <w:rFonts w:ascii="Arial" w:hAnsi="Arial" w:cs="Arial"/>
                <w:bCs/>
                <w:sz w:val="18"/>
                <w:szCs w:val="18"/>
              </w:rPr>
            </w:pPr>
            <w:r>
              <w:rPr>
                <w:rFonts w:ascii="Arial" w:hAnsi="Arial" w:cs="Arial"/>
                <w:sz w:val="18"/>
                <w:szCs w:val="18"/>
              </w:rPr>
              <w:t>7.5%</w:t>
            </w:r>
          </w:p>
        </w:tc>
      </w:tr>
    </w:tbl>
    <w:p w14:paraId="4E77B4DA">
      <w:pPr>
        <w:tabs>
          <w:tab w:val="left" w:pos="360"/>
        </w:tabs>
        <w:ind w:left="360"/>
        <w:rPr>
          <w:rFonts w:ascii="Arial" w:hAnsi="Arial" w:cs="Arial"/>
          <w:bCs/>
          <w:sz w:val="18"/>
          <w:szCs w:val="18"/>
        </w:rPr>
      </w:pPr>
    </w:p>
    <w:p w14:paraId="5115EA55">
      <w:pPr>
        <w:tabs>
          <w:tab w:val="left" w:pos="360"/>
        </w:tabs>
        <w:jc w:val="both"/>
        <w:rPr>
          <w:rFonts w:ascii="Arial" w:hAnsi="Arial" w:cs="Arial"/>
          <w:bCs/>
          <w:sz w:val="18"/>
          <w:szCs w:val="18"/>
        </w:rPr>
      </w:pPr>
    </w:p>
    <w:p w14:paraId="67F2D246">
      <w:pPr>
        <w:tabs>
          <w:tab w:val="left" w:pos="360"/>
        </w:tabs>
        <w:ind w:left="360"/>
        <w:jc w:val="both"/>
        <w:rPr>
          <w:rFonts w:ascii="Arial" w:hAnsi="Arial" w:cs="Arial"/>
          <w:bCs/>
          <w:sz w:val="18"/>
          <w:szCs w:val="18"/>
        </w:rPr>
      </w:pPr>
      <w:r>
        <w:rPr>
          <w:rFonts w:ascii="Arial" w:hAnsi="Arial" w:cs="Arial"/>
          <w:bCs/>
          <w:sz w:val="18"/>
          <w:szCs w:val="18"/>
        </w:rPr>
        <w:t>LIMITATIONS OF THE ASSAY</w:t>
      </w:r>
    </w:p>
    <w:p w14:paraId="103674F7">
      <w:pPr>
        <w:pStyle w:val="13"/>
        <w:numPr>
          <w:ilvl w:val="0"/>
          <w:numId w:val="8"/>
        </w:numPr>
        <w:tabs>
          <w:tab w:val="left" w:pos="360"/>
        </w:tabs>
        <w:jc w:val="both"/>
        <w:rPr>
          <w:rFonts w:ascii="Arial" w:hAnsi="Arial" w:cs="Arial"/>
          <w:bCs/>
          <w:sz w:val="18"/>
          <w:szCs w:val="18"/>
        </w:rPr>
      </w:pPr>
      <w:r>
        <w:rPr>
          <w:rFonts w:ascii="Arial" w:hAnsi="Arial" w:cs="Arial"/>
          <w:bCs/>
          <w:sz w:val="18"/>
          <w:szCs w:val="18"/>
        </w:rPr>
        <w:t>As with other serological assays, the results of these assays should be used in conjunction with information available from clinical evaluation and other diagnostic procedures.</w:t>
      </w:r>
    </w:p>
    <w:p w14:paraId="1431E3E7">
      <w:pPr>
        <w:pStyle w:val="13"/>
        <w:numPr>
          <w:ilvl w:val="0"/>
          <w:numId w:val="8"/>
        </w:numPr>
        <w:tabs>
          <w:tab w:val="left" w:pos="360"/>
        </w:tabs>
        <w:jc w:val="both"/>
        <w:rPr>
          <w:rFonts w:ascii="Arial" w:hAnsi="Arial" w:cs="Arial"/>
          <w:bCs/>
          <w:sz w:val="18"/>
          <w:szCs w:val="18"/>
        </w:rPr>
      </w:pPr>
      <w:r>
        <w:rPr>
          <w:rFonts w:ascii="Arial" w:hAnsi="Arial" w:cs="Arial"/>
          <w:bCs/>
          <w:sz w:val="18"/>
          <w:szCs w:val="18"/>
        </w:rPr>
        <w:t>Samples obtained too early during primary infection may not contain detectable antibody.</w:t>
      </w:r>
    </w:p>
    <w:p w14:paraId="28EB1E1D">
      <w:pPr>
        <w:pStyle w:val="13"/>
        <w:numPr>
          <w:ilvl w:val="0"/>
          <w:numId w:val="8"/>
        </w:numPr>
        <w:tabs>
          <w:tab w:val="left" w:pos="360"/>
        </w:tabs>
        <w:jc w:val="both"/>
        <w:rPr>
          <w:rFonts w:ascii="Arial" w:hAnsi="Arial" w:cs="Arial"/>
          <w:bCs/>
          <w:sz w:val="18"/>
          <w:szCs w:val="18"/>
        </w:rPr>
      </w:pPr>
      <w:r>
        <w:rPr>
          <w:rFonts w:ascii="Arial" w:hAnsi="Arial" w:cs="Arial"/>
          <w:bCs/>
          <w:sz w:val="18"/>
          <w:szCs w:val="18"/>
        </w:rPr>
        <w:t>A single serum sample should not be used to aid in the diagnosis of recent infection.  Paired samples should be collected and tested simultaneously to look for seroconversion.</w:t>
      </w:r>
    </w:p>
    <w:p w14:paraId="5EEF0D49">
      <w:pPr>
        <w:tabs>
          <w:tab w:val="left" w:pos="360"/>
        </w:tabs>
        <w:ind w:left="360"/>
        <w:jc w:val="both"/>
        <w:rPr>
          <w:rFonts w:ascii="Arial" w:hAnsi="Arial" w:cs="Arial"/>
          <w:bCs/>
          <w:sz w:val="18"/>
          <w:szCs w:val="18"/>
        </w:rPr>
      </w:pPr>
    </w:p>
    <w:p w14:paraId="13DD7FB1">
      <w:pPr>
        <w:tabs>
          <w:tab w:val="left" w:pos="360"/>
        </w:tabs>
        <w:ind w:left="360"/>
        <w:jc w:val="both"/>
        <w:rPr>
          <w:rFonts w:ascii="Arial" w:hAnsi="Arial" w:cs="Arial"/>
          <w:bCs/>
          <w:sz w:val="18"/>
          <w:szCs w:val="18"/>
        </w:rPr>
      </w:pPr>
      <w:r>
        <w:rPr>
          <w:rFonts w:ascii="Arial" w:hAnsi="Arial" w:cs="Arial"/>
          <w:bCs/>
          <w:sz w:val="18"/>
          <w:szCs w:val="18"/>
        </w:rPr>
        <w:t>BIBLIOGRAPHY</w:t>
      </w:r>
    </w:p>
    <w:p w14:paraId="61658309">
      <w:pPr>
        <w:pStyle w:val="13"/>
        <w:numPr>
          <w:ilvl w:val="0"/>
          <w:numId w:val="9"/>
        </w:numPr>
        <w:tabs>
          <w:tab w:val="left" w:pos="360"/>
        </w:tabs>
        <w:jc w:val="both"/>
        <w:rPr>
          <w:rFonts w:ascii="Arial" w:hAnsi="Arial" w:cs="Arial"/>
          <w:bCs/>
          <w:sz w:val="18"/>
          <w:szCs w:val="18"/>
        </w:rPr>
      </w:pPr>
      <w:r>
        <w:rPr>
          <w:rFonts w:ascii="Arial" w:hAnsi="Arial" w:cs="Arial"/>
          <w:bCs/>
          <w:sz w:val="18"/>
          <w:szCs w:val="18"/>
        </w:rPr>
        <w:t>Nahmias, A.J., J. Dannenbarger, C. Wickliffe and M. Muther.  Clinical aspects of infection with herpes simplex viruses 1 and 2 in the human herpes viruses.  An interdisciplinary Perspective (Nahmias, A.J., W.R. Dawdle and R.F. Schinazi eds)  New York, Elsevier, pp 3-9, 1981.</w:t>
      </w:r>
    </w:p>
    <w:p w14:paraId="0E60D2A7">
      <w:pPr>
        <w:pStyle w:val="13"/>
        <w:numPr>
          <w:ilvl w:val="0"/>
          <w:numId w:val="9"/>
        </w:numPr>
        <w:tabs>
          <w:tab w:val="left" w:pos="360"/>
        </w:tabs>
        <w:jc w:val="both"/>
        <w:rPr>
          <w:rFonts w:ascii="Arial" w:hAnsi="Arial" w:cs="Arial"/>
          <w:bCs/>
          <w:sz w:val="18"/>
          <w:szCs w:val="18"/>
        </w:rPr>
      </w:pPr>
      <w:r>
        <w:rPr>
          <w:rFonts w:ascii="Arial" w:hAnsi="Arial" w:cs="Arial"/>
          <w:bCs/>
          <w:sz w:val="18"/>
          <w:szCs w:val="18"/>
        </w:rPr>
        <w:t>Vestergaard, B.F., P.C. Grauballe and H. Spanggaard.  Titration of herpes simplex virus antibodies in human sera by the enzyme-link immunosorbent assay (ELISA).  Acta Pathol. Microbiol. Scand. Sect. B 85:446-448, 1977.</w:t>
      </w:r>
    </w:p>
    <w:p w14:paraId="337E171A">
      <w:pPr>
        <w:pStyle w:val="13"/>
        <w:numPr>
          <w:ilvl w:val="0"/>
          <w:numId w:val="9"/>
        </w:numPr>
        <w:tabs>
          <w:tab w:val="left" w:pos="360"/>
        </w:tabs>
        <w:jc w:val="both"/>
        <w:rPr>
          <w:rFonts w:ascii="Arial" w:hAnsi="Arial" w:cs="Arial"/>
          <w:bCs/>
          <w:sz w:val="18"/>
          <w:szCs w:val="18"/>
        </w:rPr>
      </w:pPr>
      <w:r>
        <w:rPr>
          <w:rFonts w:ascii="Arial" w:hAnsi="Arial" w:cs="Arial"/>
          <w:bCs/>
          <w:sz w:val="18"/>
          <w:szCs w:val="18"/>
        </w:rPr>
        <w:t>Coleman, R.M., L. Pereira, P.D. Bailey, D. Dondero, C. Wickliffe, and A.J. Nahmias. Determination of herpes simplex virus type-specific antibodies by enzyme-linked immunosorbent assay.  J. Clin. Microbiol. 18(1983) 287.</w:t>
      </w:r>
    </w:p>
    <w:p w14:paraId="08E830DB">
      <w:pPr>
        <w:pStyle w:val="13"/>
        <w:numPr>
          <w:ilvl w:val="0"/>
          <w:numId w:val="9"/>
        </w:numPr>
        <w:tabs>
          <w:tab w:val="left" w:pos="360"/>
        </w:tabs>
        <w:rPr>
          <w:rFonts w:ascii="Arial" w:hAnsi="Arial" w:cs="Arial"/>
          <w:bCs/>
          <w:sz w:val="18"/>
          <w:szCs w:val="18"/>
        </w:rPr>
      </w:pPr>
      <w:r>
        <w:rPr>
          <w:rFonts w:ascii="Arial" w:hAnsi="Arial" w:cs="Arial"/>
          <w:bCs/>
          <w:sz w:val="18"/>
          <w:szCs w:val="18"/>
        </w:rPr>
        <w:t xml:space="preserve">Data on file: Orchid Biomedical Systems (P) Ltd. </w:t>
      </w:r>
    </w:p>
    <w:p w14:paraId="1702D4BD">
      <w:pPr>
        <w:tabs>
          <w:tab w:val="left" w:pos="360"/>
        </w:tabs>
      </w:pPr>
      <w:r>
        <w:object>
          <v:shape id="_x0000_i1025" o:spt="75" type="#_x0000_t75" style="height:160.5pt;width:189.8pt;" o:ole="t" filled="f" o:preferrelative="t" stroked="f" coordsize="21600,21600">
            <v:path/>
            <v:fill on="f" focussize="0,0"/>
            <v:stroke on="f" joinstyle="miter"/>
            <v:imagedata r:id="rId11" o:title=""/>
            <o:lock v:ext="edit" aspectratio="t"/>
            <w10:wrap type="none"/>
            <w10:anchorlock/>
          </v:shape>
          <o:OLEObject Type="Embed" ProgID="CorelDraw.Graphic.23" ShapeID="_x0000_i1025" DrawAspect="Content" ObjectID="_1468075725" r:id="rId10">
            <o:LockedField>false</o:LockedField>
          </o:OLEObject>
        </w:object>
      </w:r>
    </w:p>
    <w:p w14:paraId="62A81E97">
      <w:pPr>
        <w:tabs>
          <w:tab w:val="left" w:pos="360"/>
        </w:tabs>
        <w:jc w:val="center"/>
      </w:pPr>
    </w:p>
    <w:p w14:paraId="66AA6F14">
      <w:pPr>
        <w:tabs>
          <w:tab w:val="left" w:pos="360"/>
        </w:tabs>
        <w:jc w:val="center"/>
        <w:rPr>
          <w:rFonts w:ascii="Arial" w:hAnsi="Arial" w:cs="Arial"/>
          <w:i/>
          <w:sz w:val="14"/>
          <w:szCs w:val="18"/>
        </w:rPr>
      </w:pPr>
      <w:r>
        <w:object>
          <v:shape id="_x0000_i1026" o:spt="75" type="#_x0000_t75" style="height:55.5pt;width:191.9pt;" o:ole="t" filled="f" o:preferrelative="t" stroked="f" coordsize="21600,21600">
            <v:path/>
            <v:fill on="f" focussize="0,0"/>
            <v:stroke on="f" joinstyle="miter"/>
            <v:imagedata r:id="rId13" o:title=""/>
            <o:lock v:ext="edit" aspectratio="t"/>
            <w10:wrap type="none"/>
            <w10:anchorlock/>
          </v:shape>
          <o:OLEObject Type="Embed" ProgID="CorelDraw.Graphic.23" ShapeID="_x0000_i1026" DrawAspect="Content" ObjectID="_1468075726" r:id="rId12">
            <o:LockedField>false</o:LockedField>
          </o:OLEObject>
        </w:object>
      </w:r>
    </w:p>
    <w:sectPr>
      <w:headerReference r:id="rId5" w:type="first"/>
      <w:footerReference r:id="rId8" w:type="first"/>
      <w:headerReference r:id="rId3" w:type="default"/>
      <w:footerReference r:id="rId6" w:type="default"/>
      <w:headerReference r:id="rId4" w:type="even"/>
      <w:footerReference r:id="rId7" w:type="even"/>
      <w:pgSz w:w="15840" w:h="12240" w:orient="landscape"/>
      <w:pgMar w:top="864" w:right="720" w:bottom="864" w:left="720" w:header="432" w:footer="432" w:gutter="0"/>
      <w:cols w:equalWidth="0" w:num="3">
        <w:col w:w="4560" w:space="720"/>
        <w:col w:w="3840" w:space="720"/>
        <w:col w:w="456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Bookman Old Style">
    <w:altName w:val="Segoe Print"/>
    <w:panose1 w:val="02050604050505020204"/>
    <w:charset w:val="00"/>
    <w:family w:val="roman"/>
    <w:pitch w:val="default"/>
    <w:sig w:usb0="00000000" w:usb1="00000000" w:usb2="00000000" w:usb3="00000000" w:csb0="0000009F" w:csb1="00000000"/>
  </w:font>
  <w:font w:name="Tahoma">
    <w:panose1 w:val="020B0604030504040204"/>
    <w:charset w:val="00"/>
    <w:family w:val="swiss"/>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5B693D">
    <w:pPr>
      <w:pStyle w:val="9"/>
      <w:jc w:val="center"/>
    </w:pPr>
    <w:r>
      <w:t xml:space="preserve">Page </w:t>
    </w:r>
    <w:r>
      <w:fldChar w:fldCharType="begin"/>
    </w:r>
    <w:r>
      <w:instrText xml:space="preserve">PAGE</w:instrText>
    </w:r>
    <w:r>
      <w:fldChar w:fldCharType="separate"/>
    </w:r>
    <w: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9C8A8C">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EAEA99">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3D7140">
    <w:pPr>
      <w:pStyle w:val="1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94E21E">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0888AD">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97721A"/>
    <w:multiLevelType w:val="multilevel"/>
    <w:tmpl w:val="0397721A"/>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08F8412A"/>
    <w:multiLevelType w:val="multilevel"/>
    <w:tmpl w:val="08F8412A"/>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
    <w:nsid w:val="29A973F8"/>
    <w:multiLevelType w:val="multilevel"/>
    <w:tmpl w:val="29A973F8"/>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
    <w:nsid w:val="29FD0E07"/>
    <w:multiLevelType w:val="multilevel"/>
    <w:tmpl w:val="29FD0E07"/>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
    <w:nsid w:val="35F667F8"/>
    <w:multiLevelType w:val="multilevel"/>
    <w:tmpl w:val="35F667F8"/>
    <w:lvl w:ilvl="0" w:tentative="0">
      <w:start w:val="1"/>
      <w:numFmt w:val="decimal"/>
      <w:lvlText w:val="%1)"/>
      <w:lvlJc w:val="left"/>
      <w:pPr>
        <w:ind w:left="720" w:hanging="360"/>
      </w:pPr>
      <w:rPr>
        <w:rFonts w:hint="default"/>
      </w:rPr>
    </w:lvl>
    <w:lvl w:ilvl="1" w:tentative="0">
      <w:start w:val="1"/>
      <w:numFmt w:val="decimal"/>
      <w:lvlText w:val="%2."/>
      <w:lvlJc w:val="left"/>
      <w:pPr>
        <w:ind w:left="1440" w:hanging="360"/>
      </w:pPr>
      <w:rPr>
        <w:rFonts w:hint="default"/>
      </w:r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
    <w:nsid w:val="496F7CF6"/>
    <w:multiLevelType w:val="multilevel"/>
    <w:tmpl w:val="496F7CF6"/>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6">
    <w:nsid w:val="4CF87DD9"/>
    <w:multiLevelType w:val="multilevel"/>
    <w:tmpl w:val="4CF87DD9"/>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7">
    <w:nsid w:val="4E316AB1"/>
    <w:multiLevelType w:val="multilevel"/>
    <w:tmpl w:val="4E316AB1"/>
    <w:lvl w:ilvl="0" w:tentative="0">
      <w:start w:val="1"/>
      <w:numFmt w:val="decimal"/>
      <w:lvlText w:val="%1."/>
      <w:lvlJc w:val="left"/>
      <w:pPr>
        <w:ind w:left="786" w:hanging="360"/>
      </w:pPr>
      <w:rPr>
        <w:rFonts w:hint="default"/>
      </w:rPr>
    </w:lvl>
    <w:lvl w:ilvl="1" w:tentative="0">
      <w:start w:val="1"/>
      <w:numFmt w:val="lowerLetter"/>
      <w:lvlText w:val="%2."/>
      <w:lvlJc w:val="left"/>
      <w:pPr>
        <w:ind w:left="1506" w:hanging="360"/>
      </w:pPr>
    </w:lvl>
    <w:lvl w:ilvl="2" w:tentative="0">
      <w:start w:val="1"/>
      <w:numFmt w:val="lowerRoman"/>
      <w:lvlText w:val="%3."/>
      <w:lvlJc w:val="right"/>
      <w:pPr>
        <w:ind w:left="2226" w:hanging="180"/>
      </w:pPr>
    </w:lvl>
    <w:lvl w:ilvl="3" w:tentative="0">
      <w:start w:val="1"/>
      <w:numFmt w:val="decimal"/>
      <w:lvlText w:val="%4."/>
      <w:lvlJc w:val="left"/>
      <w:pPr>
        <w:ind w:left="2946" w:hanging="360"/>
      </w:pPr>
    </w:lvl>
    <w:lvl w:ilvl="4" w:tentative="0">
      <w:start w:val="1"/>
      <w:numFmt w:val="lowerLetter"/>
      <w:lvlText w:val="%5."/>
      <w:lvlJc w:val="left"/>
      <w:pPr>
        <w:ind w:left="3666" w:hanging="360"/>
      </w:pPr>
    </w:lvl>
    <w:lvl w:ilvl="5" w:tentative="0">
      <w:start w:val="1"/>
      <w:numFmt w:val="lowerRoman"/>
      <w:lvlText w:val="%6."/>
      <w:lvlJc w:val="right"/>
      <w:pPr>
        <w:ind w:left="4386" w:hanging="180"/>
      </w:pPr>
    </w:lvl>
    <w:lvl w:ilvl="6" w:tentative="0">
      <w:start w:val="1"/>
      <w:numFmt w:val="decimal"/>
      <w:lvlText w:val="%7."/>
      <w:lvlJc w:val="left"/>
      <w:pPr>
        <w:ind w:left="5106" w:hanging="360"/>
      </w:pPr>
    </w:lvl>
    <w:lvl w:ilvl="7" w:tentative="0">
      <w:start w:val="1"/>
      <w:numFmt w:val="lowerLetter"/>
      <w:lvlText w:val="%8."/>
      <w:lvlJc w:val="left"/>
      <w:pPr>
        <w:ind w:left="5826" w:hanging="360"/>
      </w:pPr>
    </w:lvl>
    <w:lvl w:ilvl="8" w:tentative="0">
      <w:start w:val="1"/>
      <w:numFmt w:val="lowerRoman"/>
      <w:lvlText w:val="%9."/>
      <w:lvlJc w:val="right"/>
      <w:pPr>
        <w:ind w:left="6546" w:hanging="180"/>
      </w:pPr>
    </w:lvl>
  </w:abstractNum>
  <w:abstractNum w:abstractNumId="8">
    <w:nsid w:val="630D344D"/>
    <w:multiLevelType w:val="multilevel"/>
    <w:tmpl w:val="630D344D"/>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5"/>
  </w:num>
  <w:num w:numId="2">
    <w:abstractNumId w:val="4"/>
  </w:num>
  <w:num w:numId="3">
    <w:abstractNumId w:val="8"/>
  </w:num>
  <w:num w:numId="4">
    <w:abstractNumId w:val="2"/>
  </w:num>
  <w:num w:numId="5">
    <w:abstractNumId w:val="0"/>
  </w:num>
  <w:num w:numId="6">
    <w:abstractNumId w:val="6"/>
  </w:num>
  <w:num w:numId="7">
    <w:abstractNumId w:val="1"/>
  </w:num>
  <w:num w:numId="8">
    <w:abstractNumId w:val="7"/>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9"/>
  <w:hideSpellingErrors/>
  <w:hideGrammaticalErrors/>
  <w:documentProtection w:enforcement="0"/>
  <w:defaultTabStop w:val="720"/>
  <w:doNotHyphenateCaps/>
  <w:displayHorizontalDrawingGridEvery w:val="0"/>
  <w:displayVerticalDrawingGridEvery w:val="0"/>
  <w:doNotUseMarginsForDrawingGridOrigin w:val="1"/>
  <w:drawingGridHorizontalOrigin w:val="1800"/>
  <w:drawingGridVerticalOrigin w:val="1440"/>
  <w:doNotShadeFormData w:val="1"/>
  <w:noPunctuationKerning w:val="1"/>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43C8"/>
    <w:rsid w:val="000032CD"/>
    <w:rsid w:val="00065081"/>
    <w:rsid w:val="000B0CEA"/>
    <w:rsid w:val="000E17FF"/>
    <w:rsid w:val="000F057E"/>
    <w:rsid w:val="000F2C37"/>
    <w:rsid w:val="001214F1"/>
    <w:rsid w:val="00131B4D"/>
    <w:rsid w:val="00137225"/>
    <w:rsid w:val="0014703A"/>
    <w:rsid w:val="00152295"/>
    <w:rsid w:val="00166AE2"/>
    <w:rsid w:val="00170243"/>
    <w:rsid w:val="00171DEA"/>
    <w:rsid w:val="001960B7"/>
    <w:rsid w:val="001A2E93"/>
    <w:rsid w:val="001B50AD"/>
    <w:rsid w:val="001B5B32"/>
    <w:rsid w:val="001C1818"/>
    <w:rsid w:val="001C1DF0"/>
    <w:rsid w:val="001C2CA2"/>
    <w:rsid w:val="001D0CB0"/>
    <w:rsid w:val="001D687F"/>
    <w:rsid w:val="001F1DD0"/>
    <w:rsid w:val="001F2373"/>
    <w:rsid w:val="001F2D7F"/>
    <w:rsid w:val="001F2F45"/>
    <w:rsid w:val="001F344E"/>
    <w:rsid w:val="001F5730"/>
    <w:rsid w:val="001F7924"/>
    <w:rsid w:val="00200DE9"/>
    <w:rsid w:val="00201322"/>
    <w:rsid w:val="00203F09"/>
    <w:rsid w:val="002042A3"/>
    <w:rsid w:val="002329EF"/>
    <w:rsid w:val="00234789"/>
    <w:rsid w:val="002412B6"/>
    <w:rsid w:val="002A021A"/>
    <w:rsid w:val="002B2AAA"/>
    <w:rsid w:val="002D1DE3"/>
    <w:rsid w:val="002D4C93"/>
    <w:rsid w:val="002E491C"/>
    <w:rsid w:val="002F5BF7"/>
    <w:rsid w:val="0030216B"/>
    <w:rsid w:val="00325EE7"/>
    <w:rsid w:val="003447F8"/>
    <w:rsid w:val="00350958"/>
    <w:rsid w:val="00350FE6"/>
    <w:rsid w:val="00367BE0"/>
    <w:rsid w:val="003A3C1E"/>
    <w:rsid w:val="003C2AD4"/>
    <w:rsid w:val="003C6025"/>
    <w:rsid w:val="003E2C87"/>
    <w:rsid w:val="00415F51"/>
    <w:rsid w:val="004569D5"/>
    <w:rsid w:val="00475744"/>
    <w:rsid w:val="00490520"/>
    <w:rsid w:val="004A017D"/>
    <w:rsid w:val="004A749E"/>
    <w:rsid w:val="004F00B7"/>
    <w:rsid w:val="0053059F"/>
    <w:rsid w:val="00580FE2"/>
    <w:rsid w:val="005967F3"/>
    <w:rsid w:val="005B47DA"/>
    <w:rsid w:val="005C438D"/>
    <w:rsid w:val="005C4601"/>
    <w:rsid w:val="005C7851"/>
    <w:rsid w:val="005D14FD"/>
    <w:rsid w:val="00664BDA"/>
    <w:rsid w:val="00690FA0"/>
    <w:rsid w:val="00691164"/>
    <w:rsid w:val="00691AF2"/>
    <w:rsid w:val="0069319B"/>
    <w:rsid w:val="00693A7F"/>
    <w:rsid w:val="006B68A2"/>
    <w:rsid w:val="006C1D4D"/>
    <w:rsid w:val="006E51E2"/>
    <w:rsid w:val="006E5B7D"/>
    <w:rsid w:val="006F1917"/>
    <w:rsid w:val="007417BA"/>
    <w:rsid w:val="00763725"/>
    <w:rsid w:val="007650B8"/>
    <w:rsid w:val="007709B4"/>
    <w:rsid w:val="007743C8"/>
    <w:rsid w:val="00780A13"/>
    <w:rsid w:val="007846E1"/>
    <w:rsid w:val="00791CE1"/>
    <w:rsid w:val="007C3381"/>
    <w:rsid w:val="0080477D"/>
    <w:rsid w:val="008060B9"/>
    <w:rsid w:val="00807308"/>
    <w:rsid w:val="008131CD"/>
    <w:rsid w:val="008275B9"/>
    <w:rsid w:val="0086479E"/>
    <w:rsid w:val="00880D76"/>
    <w:rsid w:val="008945AF"/>
    <w:rsid w:val="008B60FC"/>
    <w:rsid w:val="008E507D"/>
    <w:rsid w:val="00922C13"/>
    <w:rsid w:val="009271F7"/>
    <w:rsid w:val="0093184E"/>
    <w:rsid w:val="00933A79"/>
    <w:rsid w:val="00940971"/>
    <w:rsid w:val="00960427"/>
    <w:rsid w:val="009844E9"/>
    <w:rsid w:val="00991FA3"/>
    <w:rsid w:val="00993132"/>
    <w:rsid w:val="00994741"/>
    <w:rsid w:val="00997C8D"/>
    <w:rsid w:val="009A35AC"/>
    <w:rsid w:val="009F0E36"/>
    <w:rsid w:val="00A00D6C"/>
    <w:rsid w:val="00A053ED"/>
    <w:rsid w:val="00A064B6"/>
    <w:rsid w:val="00A175D1"/>
    <w:rsid w:val="00A339AD"/>
    <w:rsid w:val="00A346F5"/>
    <w:rsid w:val="00A429AD"/>
    <w:rsid w:val="00A440AA"/>
    <w:rsid w:val="00A74AA9"/>
    <w:rsid w:val="00A80735"/>
    <w:rsid w:val="00A84946"/>
    <w:rsid w:val="00AC16E8"/>
    <w:rsid w:val="00AC7BC6"/>
    <w:rsid w:val="00AE7ED6"/>
    <w:rsid w:val="00AF6A29"/>
    <w:rsid w:val="00B07250"/>
    <w:rsid w:val="00B11FB7"/>
    <w:rsid w:val="00B141ED"/>
    <w:rsid w:val="00BA4D56"/>
    <w:rsid w:val="00BB148B"/>
    <w:rsid w:val="00BE3603"/>
    <w:rsid w:val="00BE38FB"/>
    <w:rsid w:val="00BE437E"/>
    <w:rsid w:val="00BF4EAE"/>
    <w:rsid w:val="00C23350"/>
    <w:rsid w:val="00C241A5"/>
    <w:rsid w:val="00C34B65"/>
    <w:rsid w:val="00C37A29"/>
    <w:rsid w:val="00C4038C"/>
    <w:rsid w:val="00C41C2A"/>
    <w:rsid w:val="00C4489E"/>
    <w:rsid w:val="00C62BF6"/>
    <w:rsid w:val="00C6420C"/>
    <w:rsid w:val="00C64B48"/>
    <w:rsid w:val="00C765E7"/>
    <w:rsid w:val="00C80C1E"/>
    <w:rsid w:val="00CA5160"/>
    <w:rsid w:val="00CA5B79"/>
    <w:rsid w:val="00CA674C"/>
    <w:rsid w:val="00CB7351"/>
    <w:rsid w:val="00CC1C17"/>
    <w:rsid w:val="00CC4CF9"/>
    <w:rsid w:val="00CE33A1"/>
    <w:rsid w:val="00CF4C14"/>
    <w:rsid w:val="00D72C8C"/>
    <w:rsid w:val="00D740F5"/>
    <w:rsid w:val="00D86CBB"/>
    <w:rsid w:val="00DA500C"/>
    <w:rsid w:val="00DB2FE4"/>
    <w:rsid w:val="00DB48F8"/>
    <w:rsid w:val="00DB4A5B"/>
    <w:rsid w:val="00E05601"/>
    <w:rsid w:val="00E228B9"/>
    <w:rsid w:val="00E25627"/>
    <w:rsid w:val="00E2719F"/>
    <w:rsid w:val="00E67E07"/>
    <w:rsid w:val="00E73CF2"/>
    <w:rsid w:val="00E81CEB"/>
    <w:rsid w:val="00E82464"/>
    <w:rsid w:val="00EA17D2"/>
    <w:rsid w:val="00EA361D"/>
    <w:rsid w:val="00EA6728"/>
    <w:rsid w:val="00EB06E4"/>
    <w:rsid w:val="00EB4AFD"/>
    <w:rsid w:val="00EB550C"/>
    <w:rsid w:val="00EC2C4D"/>
    <w:rsid w:val="00EE0E53"/>
    <w:rsid w:val="00F00A6A"/>
    <w:rsid w:val="00F012BA"/>
    <w:rsid w:val="00F109BB"/>
    <w:rsid w:val="00F15018"/>
    <w:rsid w:val="00F24385"/>
    <w:rsid w:val="00F7004A"/>
    <w:rsid w:val="00F74F7B"/>
    <w:rsid w:val="00F818A7"/>
    <w:rsid w:val="00F83FFF"/>
    <w:rsid w:val="00F92675"/>
    <w:rsid w:val="00FC3676"/>
    <w:rsid w:val="00FD3AA9"/>
    <w:rsid w:val="00FD6C3F"/>
    <w:rsid w:val="00FF1832"/>
    <w:rsid w:val="19CE6547"/>
    <w:rsid w:val="57090F77"/>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name="header"/>
    <w:lsdException w:qFormat="1" w:unhideWhenUsed="0"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qFormat="1"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lang w:val="en-US" w:eastAsia="en-US" w:bidi="ar-SA"/>
    </w:rPr>
  </w:style>
  <w:style w:type="paragraph" w:styleId="2">
    <w:name w:val="heading 1"/>
    <w:basedOn w:val="1"/>
    <w:next w:val="1"/>
    <w:qFormat/>
    <w:uiPriority w:val="0"/>
    <w:pPr>
      <w:keepNext/>
      <w:jc w:val="center"/>
      <w:outlineLvl w:val="0"/>
    </w:pPr>
    <w:rPr>
      <w:rFonts w:ascii="Bookman Old Style" w:hAnsi="Bookman Old Style"/>
      <w:sz w:val="24"/>
    </w:rPr>
  </w:style>
  <w:style w:type="paragraph" w:styleId="3">
    <w:name w:val="heading 2"/>
    <w:basedOn w:val="1"/>
    <w:next w:val="1"/>
    <w:qFormat/>
    <w:uiPriority w:val="0"/>
    <w:pPr>
      <w:keepNext/>
      <w:tabs>
        <w:tab w:val="left" w:pos="360"/>
      </w:tabs>
      <w:jc w:val="both"/>
      <w:outlineLvl w:val="1"/>
    </w:pPr>
    <w:rPr>
      <w:b/>
    </w:rPr>
  </w:style>
  <w:style w:type="character" w:default="1" w:styleId="4">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6">
    <w:name w:val="Balloon Text"/>
    <w:basedOn w:val="1"/>
    <w:semiHidden/>
    <w:qFormat/>
    <w:uiPriority w:val="0"/>
    <w:rPr>
      <w:rFonts w:ascii="Tahoma" w:hAnsi="Tahoma" w:cs="Tahoma"/>
      <w:sz w:val="16"/>
      <w:szCs w:val="16"/>
    </w:rPr>
  </w:style>
  <w:style w:type="paragraph" w:styleId="7">
    <w:name w:val="Body Text"/>
    <w:basedOn w:val="1"/>
    <w:semiHidden/>
    <w:qFormat/>
    <w:uiPriority w:val="0"/>
    <w:pPr>
      <w:jc w:val="center"/>
    </w:pPr>
    <w:rPr>
      <w:b/>
    </w:rPr>
  </w:style>
  <w:style w:type="paragraph" w:styleId="8">
    <w:name w:val="Body Text 3"/>
    <w:basedOn w:val="1"/>
    <w:link w:val="12"/>
    <w:unhideWhenUsed/>
    <w:qFormat/>
    <w:uiPriority w:val="99"/>
    <w:pPr>
      <w:spacing w:after="120"/>
    </w:pPr>
    <w:rPr>
      <w:sz w:val="16"/>
      <w:szCs w:val="16"/>
      <w:lang w:val="zh-CN"/>
    </w:rPr>
  </w:style>
  <w:style w:type="paragraph" w:styleId="9">
    <w:name w:val="footer"/>
    <w:basedOn w:val="1"/>
    <w:semiHidden/>
    <w:qFormat/>
    <w:uiPriority w:val="0"/>
    <w:pPr>
      <w:tabs>
        <w:tab w:val="center" w:pos="4320"/>
        <w:tab w:val="right" w:pos="8640"/>
      </w:tabs>
    </w:pPr>
  </w:style>
  <w:style w:type="paragraph" w:styleId="10">
    <w:name w:val="header"/>
    <w:basedOn w:val="1"/>
    <w:semiHidden/>
    <w:qFormat/>
    <w:uiPriority w:val="0"/>
    <w:pPr>
      <w:tabs>
        <w:tab w:val="center" w:pos="4320"/>
        <w:tab w:val="right" w:pos="8640"/>
      </w:tabs>
    </w:pPr>
  </w:style>
  <w:style w:type="table" w:styleId="11">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Body Text 3 Char"/>
    <w:link w:val="8"/>
    <w:qFormat/>
    <w:uiPriority w:val="99"/>
    <w:rPr>
      <w:sz w:val="16"/>
      <w:szCs w:val="16"/>
      <w:lang w:eastAsia="en-US"/>
    </w:rPr>
  </w:style>
  <w:style w:type="paragraph" w:styleId="13">
    <w:name w:val="List Paragraph"/>
    <w:basedOn w:val="1"/>
    <w:qFormat/>
    <w:uiPriority w:val="34"/>
    <w:pPr>
      <w:ind w:left="720"/>
    </w:pPr>
    <w:rPr>
      <w:sz w:val="24"/>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2.emf"/><Relationship Id="rId12" Type="http://schemas.openxmlformats.org/officeDocument/2006/relationships/oleObject" Target="embeddings/oleObject2.bin"/><Relationship Id="rId11" Type="http://schemas.openxmlformats.org/officeDocument/2006/relationships/image" Target="media/image1.e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E&amp;E Labs, Inc.</Company>
  <Pages>3</Pages>
  <Words>1319</Words>
  <Characters>7519</Characters>
  <Lines>62</Lines>
  <Paragraphs>17</Paragraphs>
  <TotalTime>3</TotalTime>
  <ScaleCrop>false</ScaleCrop>
  <LinksUpToDate>false</LinksUpToDate>
  <CharactersWithSpaces>8821</CharactersWithSpaces>
  <Application>WPS Office_12.2.0.17153_F1E327BC-269C-435d-A152-05C5408002CA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2024-08-01T07:51:00Z</dcterms:created>
  <dc:creator>SHAO FANG YOU</dc:creator>
  <cp:lastModifiedBy>WPS_1704431798</cp:lastModifiedBy>
  <cp:lastPrinted>2008-08-26T11:33:00Z</cp:lastPrinted>
  <dcterms:modified xsi:type="dcterms:W3CDTF">2024-10-21T10:26:08Z</dcterms:modified>
  <dc:title>AFP enzyme immunoassay test kit</dc:title>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2057-12.2.0.17153</vt:lpwstr>
  </property>
  <property fmtid="{D5CDD505-2E9C-101B-9397-08002B2CF9AE}" pid="3" name="ICV">
    <vt:lpwstr>817549EFC65D43D39E1B3DFBFB7725D6_12</vt:lpwstr>
  </property>
</Properties>
</file>