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A0641C" w14:textId="77777777" w:rsidR="00C75912"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7D1577A3" wp14:editId="3B9B9F47">
                <wp:simplePos x="0" y="0"/>
                <wp:positionH relativeFrom="column">
                  <wp:posOffset>91440</wp:posOffset>
                </wp:positionH>
                <wp:positionV relativeFrom="paragraph">
                  <wp:posOffset>0</wp:posOffset>
                </wp:positionV>
                <wp:extent cx="2651760" cy="80772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807720"/>
                        </a:xfrm>
                        <a:prstGeom prst="rect">
                          <a:avLst/>
                        </a:prstGeom>
                        <a:noFill/>
                        <a:ln>
                          <a:noFill/>
                        </a:ln>
                        <a:effectLst/>
                      </wps:spPr>
                      <wps:txbx>
                        <w:txbxContent>
                          <w:p w14:paraId="1413C880" w14:textId="77777777" w:rsidR="00C75912" w:rsidRPr="007F72D1" w:rsidRDefault="00000000">
                            <w:pPr>
                              <w:jc w:val="center"/>
                              <w:rPr>
                                <w:rFonts w:ascii="Bookman Old Style" w:hAnsi="Bookman Old Style"/>
                                <w:b/>
                                <w:sz w:val="24"/>
                                <w:szCs w:val="24"/>
                              </w:rPr>
                            </w:pPr>
                            <w:r w:rsidRPr="007F72D1">
                              <w:rPr>
                                <w:rFonts w:ascii="Bookman Old Style" w:hAnsi="Bookman Old Style"/>
                                <w:b/>
                                <w:sz w:val="24"/>
                                <w:szCs w:val="24"/>
                              </w:rPr>
                              <w:t>Follicle Stimulating Hormone (FSH)</w:t>
                            </w:r>
                          </w:p>
                          <w:p w14:paraId="55FF93F1" w14:textId="77777777" w:rsidR="00C75912" w:rsidRPr="007F72D1" w:rsidRDefault="00000000">
                            <w:pPr>
                              <w:jc w:val="center"/>
                              <w:rPr>
                                <w:rFonts w:ascii="Bookman Old Style" w:hAnsi="Bookman Old Style" w:cs="Arial"/>
                                <w:b/>
                                <w:sz w:val="24"/>
                                <w:szCs w:val="24"/>
                                <w:lang w:val="en-GB"/>
                              </w:rPr>
                            </w:pPr>
                            <w:r w:rsidRPr="007F72D1">
                              <w:rPr>
                                <w:rFonts w:ascii="Bookman Old Style" w:hAnsi="Bookman Old Style" w:cs="Arial"/>
                                <w:b/>
                                <w:sz w:val="24"/>
                                <w:szCs w:val="24"/>
                                <w:lang w:val="en-GB"/>
                              </w:rPr>
                              <w:t xml:space="preserve">ENZYME IMMUNOASSAY TEST KIT </w:t>
                            </w:r>
                          </w:p>
                        </w:txbxContent>
                      </wps:txbx>
                      <wps:bodyPr rot="0" vert="horz" wrap="square" lIns="12700" tIns="12700" rIns="12700" bIns="12700" anchor="t" anchorCtr="0" upright="1">
                        <a:noAutofit/>
                      </wps:bodyPr>
                    </wps:wsp>
                  </a:graphicData>
                </a:graphic>
              </wp:anchor>
            </w:drawing>
          </mc:Choice>
          <mc:Fallback>
            <w:pict>
              <v:rect w14:anchorId="7D1577A3" id="Rectangle 2" o:spid="_x0000_s1026" style="position:absolute;margin-left:7.2pt;margin-top:0;width:208.8pt;height:63.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" o:allowincell="f" filled="f" stroked="f">
                <v:textbox inset="1pt,1pt,1pt,1pt">
                  <w:txbxContent>
                    <w:p w14:paraId="1413C880" w14:textId="77777777" w:rsidR="00C75912" w:rsidRPr="007F72D1" w:rsidRDefault="00000000">
                      <w:pPr>
                        <w:jc w:val="center"/>
                        <w:rPr>
                          <w:rFonts w:ascii="Bookman Old Style" w:hAnsi="Bookman Old Style"/>
                          <w:b/>
                          <w:sz w:val="24"/>
                          <w:szCs w:val="24"/>
                        </w:rPr>
                      </w:pPr>
                      <w:r w:rsidRPr="007F72D1">
                        <w:rPr>
                          <w:rFonts w:ascii="Bookman Old Style" w:hAnsi="Bookman Old Style"/>
                          <w:b/>
                          <w:sz w:val="24"/>
                          <w:szCs w:val="24"/>
                        </w:rPr>
                        <w:t>Follicle Stimulating Hormone (FSH)</w:t>
                      </w:r>
                    </w:p>
                    <w:p w14:paraId="55FF93F1" w14:textId="77777777" w:rsidR="00C75912" w:rsidRPr="007F72D1" w:rsidRDefault="00000000">
                      <w:pPr>
                        <w:jc w:val="center"/>
                        <w:rPr>
                          <w:rFonts w:ascii="Bookman Old Style" w:hAnsi="Bookman Old Style" w:cs="Arial"/>
                          <w:b/>
                          <w:sz w:val="24"/>
                          <w:szCs w:val="24"/>
                          <w:lang w:val="en-GB"/>
                        </w:rPr>
                      </w:pPr>
                      <w:r w:rsidRPr="007F72D1">
                        <w:rPr>
                          <w:rFonts w:ascii="Bookman Old Style" w:hAnsi="Bookman Old Style" w:cs="Arial"/>
                          <w:b/>
                          <w:sz w:val="24"/>
                          <w:szCs w:val="24"/>
                          <w:lang w:val="en-GB"/>
                        </w:rPr>
                        <w:t xml:space="preserve">ENZYME IMMUNOASSAY TEST KIT </w:t>
                      </w:r>
                    </w:p>
                  </w:txbxContent>
                </v:textbox>
              </v:rect>
            </w:pict>
          </mc:Fallback>
        </mc:AlternateContent>
      </w:r>
    </w:p>
    <w:p w14:paraId="6E2D7464" w14:textId="77777777" w:rsidR="00C75912" w:rsidRDefault="00C75912">
      <w:pPr>
        <w:rPr>
          <w:sz w:val="24"/>
        </w:rPr>
      </w:pPr>
    </w:p>
    <w:p w14:paraId="60D70195" w14:textId="77777777" w:rsidR="00C75912" w:rsidRDefault="00C75912">
      <w:pPr>
        <w:rPr>
          <w:sz w:val="24"/>
        </w:rPr>
      </w:pPr>
    </w:p>
    <w:p w14:paraId="3364A8A4" w14:textId="77777777" w:rsidR="00C75912" w:rsidRDefault="00C75912">
      <w:pPr>
        <w:tabs>
          <w:tab w:val="left" w:pos="360"/>
        </w:tabs>
        <w:jc w:val="center"/>
        <w:rPr>
          <w:rFonts w:ascii="Arial" w:hAnsi="Arial" w:cs="Arial"/>
          <w:b/>
        </w:rPr>
      </w:pPr>
    </w:p>
    <w:p w14:paraId="37A66A8E" w14:textId="77777777" w:rsidR="00C75912" w:rsidRDefault="00C75912">
      <w:pPr>
        <w:tabs>
          <w:tab w:val="left" w:pos="360"/>
        </w:tabs>
        <w:jc w:val="center"/>
        <w:rPr>
          <w:rFonts w:ascii="Arial" w:hAnsi="Arial" w:cs="Arial"/>
          <w:b/>
        </w:rPr>
      </w:pPr>
    </w:p>
    <w:p w14:paraId="06528E4D" w14:textId="77777777" w:rsidR="00C75912" w:rsidRDefault="00C75912">
      <w:pPr>
        <w:tabs>
          <w:tab w:val="left" w:pos="360"/>
        </w:tabs>
        <w:jc w:val="center"/>
        <w:rPr>
          <w:rFonts w:ascii="Arial" w:hAnsi="Arial" w:cs="Arial"/>
          <w:b/>
        </w:rPr>
      </w:pPr>
    </w:p>
    <w:p w14:paraId="2829C2BE" w14:textId="77777777" w:rsidR="00C75912" w:rsidRDefault="00C75912">
      <w:pPr>
        <w:tabs>
          <w:tab w:val="left" w:pos="360"/>
        </w:tabs>
        <w:jc w:val="center"/>
        <w:rPr>
          <w:rFonts w:ascii="Arial" w:hAnsi="Arial" w:cs="Arial"/>
          <w:b/>
        </w:rPr>
      </w:pPr>
    </w:p>
    <w:p w14:paraId="6520B149" w14:textId="77777777" w:rsidR="00C75912" w:rsidRDefault="00000000">
      <w:pPr>
        <w:tabs>
          <w:tab w:val="left" w:pos="360"/>
        </w:tabs>
        <w:jc w:val="center"/>
        <w:rPr>
          <w:rFonts w:ascii="Arial" w:hAnsi="Arial" w:cs="Arial"/>
          <w:b/>
        </w:rPr>
      </w:pPr>
      <w:r>
        <w:rPr>
          <w:rFonts w:ascii="Arial" w:hAnsi="Arial" w:cs="Arial"/>
          <w:b/>
        </w:rPr>
        <w:t>Enzyme Linked Immunosorbent Assay (ELISA) for Quantitative Determination of Follicle Stimulating Hormone (FSH) in Human Serum</w:t>
      </w:r>
    </w:p>
    <w:p w14:paraId="323E3B8D" w14:textId="77777777" w:rsidR="00C75912" w:rsidRDefault="00C75912">
      <w:pPr>
        <w:tabs>
          <w:tab w:val="left" w:pos="360"/>
        </w:tabs>
        <w:jc w:val="center"/>
        <w:rPr>
          <w:rFonts w:ascii="Arial" w:hAnsi="Arial" w:cs="Arial"/>
          <w:b/>
        </w:rPr>
      </w:pPr>
    </w:p>
    <w:p w14:paraId="187F57A2" w14:textId="77777777" w:rsidR="00C75912" w:rsidRDefault="00000000">
      <w:pPr>
        <w:tabs>
          <w:tab w:val="left" w:pos="360"/>
        </w:tabs>
        <w:jc w:val="center"/>
        <w:rPr>
          <w:rFonts w:ascii="Arial" w:hAnsi="Arial" w:cs="Arial"/>
          <w:b/>
        </w:rPr>
      </w:pPr>
      <w:r>
        <w:rPr>
          <w:rFonts w:ascii="Arial" w:hAnsi="Arial" w:cs="Arial"/>
          <w:b/>
        </w:rPr>
        <w:t>FOR IN VITRO DIAGNOSTIC USE ONLY</w:t>
      </w:r>
    </w:p>
    <w:p w14:paraId="6851994C" w14:textId="77777777" w:rsidR="00C75912" w:rsidRDefault="00000000">
      <w:pPr>
        <w:tabs>
          <w:tab w:val="left" w:pos="360"/>
        </w:tabs>
        <w:jc w:val="center"/>
        <w:rPr>
          <w:rFonts w:ascii="Arial" w:hAnsi="Arial" w:cs="Arial"/>
          <w:b/>
        </w:rPr>
      </w:pPr>
      <w:r>
        <w:rPr>
          <w:rFonts w:ascii="Arial" w:hAnsi="Arial" w:cs="Arial"/>
          <w:b/>
        </w:rPr>
        <w:t>Store at 2°C to 8°C</w:t>
      </w:r>
    </w:p>
    <w:p w14:paraId="1D72E256" w14:textId="77777777" w:rsidR="00C75912" w:rsidRDefault="00C75912">
      <w:pPr>
        <w:tabs>
          <w:tab w:val="left" w:pos="360"/>
        </w:tabs>
        <w:rPr>
          <w:rFonts w:ascii="Arial" w:hAnsi="Arial" w:cs="Arial"/>
          <w:b/>
          <w:sz w:val="18"/>
          <w:szCs w:val="18"/>
        </w:rPr>
      </w:pPr>
    </w:p>
    <w:p w14:paraId="5B61BC08" w14:textId="77777777" w:rsidR="00C75912" w:rsidRDefault="00C75912">
      <w:pPr>
        <w:tabs>
          <w:tab w:val="left" w:pos="360"/>
        </w:tabs>
        <w:jc w:val="both"/>
        <w:rPr>
          <w:rFonts w:ascii="Arial" w:hAnsi="Arial" w:cs="Arial"/>
          <w:bCs/>
          <w:sz w:val="18"/>
          <w:szCs w:val="18"/>
        </w:rPr>
      </w:pPr>
    </w:p>
    <w:p w14:paraId="4F7760FD" w14:textId="77777777" w:rsidR="00C75912" w:rsidRDefault="00000000">
      <w:pPr>
        <w:tabs>
          <w:tab w:val="left" w:pos="360"/>
        </w:tabs>
        <w:ind w:left="720" w:hanging="294"/>
        <w:jc w:val="both"/>
        <w:rPr>
          <w:rFonts w:ascii="Arial" w:hAnsi="Arial" w:cs="Arial"/>
          <w:bCs/>
          <w:sz w:val="18"/>
          <w:szCs w:val="18"/>
        </w:rPr>
      </w:pPr>
      <w:r>
        <w:rPr>
          <w:rFonts w:ascii="Arial" w:hAnsi="Arial" w:cs="Arial"/>
          <w:bCs/>
          <w:sz w:val="18"/>
          <w:szCs w:val="18"/>
        </w:rPr>
        <w:t>INTENDED USE</w:t>
      </w:r>
    </w:p>
    <w:p w14:paraId="31D09AD5" w14:textId="77777777" w:rsidR="00C75912" w:rsidRDefault="00000000">
      <w:pPr>
        <w:tabs>
          <w:tab w:val="left" w:pos="360"/>
        </w:tabs>
        <w:ind w:left="426"/>
        <w:jc w:val="both"/>
        <w:rPr>
          <w:rFonts w:ascii="Arial" w:hAnsi="Arial" w:cs="Arial"/>
          <w:bCs/>
          <w:sz w:val="18"/>
          <w:szCs w:val="18"/>
        </w:rPr>
      </w:pPr>
      <w:proofErr w:type="gramStart"/>
      <w:r>
        <w:rPr>
          <w:rFonts w:ascii="Arial" w:hAnsi="Arial" w:cs="Arial"/>
          <w:bCs/>
          <w:sz w:val="18"/>
          <w:szCs w:val="18"/>
        </w:rPr>
        <w:t>FSH</w:t>
      </w:r>
      <w:proofErr w:type="gramEnd"/>
      <w:r>
        <w:rPr>
          <w:rFonts w:ascii="Arial" w:hAnsi="Arial" w:cs="Arial"/>
          <w:bCs/>
          <w:sz w:val="18"/>
          <w:szCs w:val="18"/>
        </w:rPr>
        <w:t xml:space="preserve"> Sandwich ELISA test is intended for the quantitative determination of Follicle Stimulating Hormone (FSH) in human serum. For In Vitro Diagnostic Use only.</w:t>
      </w:r>
    </w:p>
    <w:p w14:paraId="2AD0BDD0" w14:textId="77777777" w:rsidR="00C75912" w:rsidRDefault="00C75912">
      <w:pPr>
        <w:tabs>
          <w:tab w:val="left" w:pos="360"/>
        </w:tabs>
        <w:ind w:left="426"/>
        <w:jc w:val="both"/>
        <w:rPr>
          <w:rFonts w:ascii="Arial" w:hAnsi="Arial" w:cs="Arial"/>
          <w:bCs/>
          <w:sz w:val="18"/>
          <w:szCs w:val="18"/>
        </w:rPr>
      </w:pPr>
    </w:p>
    <w:p w14:paraId="250EA5A3" w14:textId="77777777" w:rsidR="00C75912" w:rsidRDefault="00000000">
      <w:pPr>
        <w:tabs>
          <w:tab w:val="left" w:pos="360"/>
        </w:tabs>
        <w:ind w:left="426"/>
        <w:jc w:val="both"/>
        <w:rPr>
          <w:rFonts w:ascii="Arial" w:hAnsi="Arial" w:cs="Arial"/>
          <w:bCs/>
          <w:sz w:val="18"/>
          <w:szCs w:val="18"/>
        </w:rPr>
      </w:pPr>
      <w:r>
        <w:rPr>
          <w:rFonts w:ascii="Arial" w:hAnsi="Arial" w:cs="Arial"/>
          <w:bCs/>
          <w:sz w:val="18"/>
          <w:szCs w:val="18"/>
        </w:rPr>
        <w:t>INTRODUCTION</w:t>
      </w:r>
    </w:p>
    <w:p w14:paraId="3DF52639" w14:textId="77777777" w:rsidR="00C75912" w:rsidRDefault="00000000">
      <w:pPr>
        <w:tabs>
          <w:tab w:val="left" w:pos="360"/>
        </w:tabs>
        <w:ind w:left="426"/>
        <w:jc w:val="both"/>
        <w:rPr>
          <w:rFonts w:ascii="Arial" w:hAnsi="Arial" w:cs="Arial"/>
          <w:bCs/>
          <w:sz w:val="18"/>
          <w:szCs w:val="18"/>
        </w:rPr>
      </w:pPr>
      <w:r>
        <w:rPr>
          <w:rFonts w:ascii="Arial" w:hAnsi="Arial" w:cs="Arial"/>
          <w:bCs/>
          <w:sz w:val="18"/>
          <w:szCs w:val="18"/>
        </w:rPr>
        <w:t>Follicle Stimulating Hormone (FSH) and Luteinizing Hormone (LH) are intimately involved in the control of the growth and reproductive activities of the gonadal tissues, which synthesize and secrete male and female sex hormones. The levels of circulating FSH and LH are controlled by these sex hormones through a negative feedback relationship.</w:t>
      </w:r>
    </w:p>
    <w:p w14:paraId="00C8218B" w14:textId="77777777" w:rsidR="00C75912" w:rsidRDefault="00000000">
      <w:pPr>
        <w:tabs>
          <w:tab w:val="left" w:pos="360"/>
        </w:tabs>
        <w:ind w:left="426"/>
        <w:jc w:val="both"/>
        <w:rPr>
          <w:rFonts w:ascii="Arial" w:hAnsi="Arial" w:cs="Arial"/>
          <w:bCs/>
          <w:sz w:val="18"/>
          <w:szCs w:val="18"/>
        </w:rPr>
      </w:pPr>
      <w:r>
        <w:rPr>
          <w:rFonts w:ascii="Arial" w:hAnsi="Arial" w:cs="Arial"/>
          <w:bCs/>
          <w:sz w:val="18"/>
          <w:szCs w:val="18"/>
        </w:rPr>
        <w:t xml:space="preserve">FSH is a glycoprotein secreted by the basophilic cells of the anterior </w:t>
      </w:r>
      <w:proofErr w:type="spellStart"/>
      <w:proofErr w:type="gramStart"/>
      <w:r>
        <w:rPr>
          <w:rFonts w:ascii="Arial" w:hAnsi="Arial" w:cs="Arial"/>
          <w:bCs/>
          <w:sz w:val="18"/>
          <w:szCs w:val="18"/>
        </w:rPr>
        <w:t>pituitary.Gonadotropin</w:t>
      </w:r>
      <w:proofErr w:type="spellEnd"/>
      <w:proofErr w:type="gramEnd"/>
      <w:r>
        <w:rPr>
          <w:rFonts w:ascii="Arial" w:hAnsi="Arial" w:cs="Arial"/>
          <w:bCs/>
          <w:sz w:val="18"/>
          <w:szCs w:val="18"/>
        </w:rPr>
        <w:t xml:space="preserve">-release hormone (GnRH), produced in the hypothalamus, controls the release of FSH from anterior pituitary. Like other glycoproteins, such as LH, TSH and HCG, FSH consists of subunits designated as alpha and beta. Hormones of this type have alpha subunits that are very similar structurally; </w:t>
      </w:r>
      <w:proofErr w:type="gramStart"/>
      <w:r>
        <w:rPr>
          <w:rFonts w:ascii="Arial" w:hAnsi="Arial" w:cs="Arial"/>
          <w:bCs/>
          <w:sz w:val="18"/>
          <w:szCs w:val="18"/>
        </w:rPr>
        <w:t>therefore</w:t>
      </w:r>
      <w:proofErr w:type="gramEnd"/>
      <w:r>
        <w:rPr>
          <w:rFonts w:ascii="Arial" w:hAnsi="Arial" w:cs="Arial"/>
          <w:bCs/>
          <w:sz w:val="18"/>
          <w:szCs w:val="18"/>
        </w:rPr>
        <w:t xml:space="preserve"> the biological and immunological properties of each are dependent on the unique beta subunit.</w:t>
      </w:r>
    </w:p>
    <w:p w14:paraId="18BB73E4" w14:textId="77777777" w:rsidR="00C75912" w:rsidRDefault="00000000">
      <w:pPr>
        <w:tabs>
          <w:tab w:val="left" w:pos="360"/>
        </w:tabs>
        <w:ind w:left="426"/>
        <w:jc w:val="both"/>
        <w:rPr>
          <w:rFonts w:ascii="Arial" w:hAnsi="Arial" w:cs="Arial"/>
          <w:bCs/>
          <w:sz w:val="18"/>
          <w:szCs w:val="18"/>
        </w:rPr>
      </w:pPr>
      <w:r>
        <w:rPr>
          <w:rFonts w:ascii="Arial" w:hAnsi="Arial" w:cs="Arial"/>
          <w:bCs/>
          <w:sz w:val="18"/>
          <w:szCs w:val="18"/>
        </w:rPr>
        <w:t xml:space="preserve">In the female, FSH stimulates the growth and maturation of ovarian follicles by acting directly on the receptors located on the </w:t>
      </w:r>
      <w:proofErr w:type="spellStart"/>
      <w:r>
        <w:rPr>
          <w:rFonts w:ascii="Arial" w:hAnsi="Arial" w:cs="Arial"/>
          <w:bCs/>
          <w:sz w:val="18"/>
          <w:szCs w:val="18"/>
        </w:rPr>
        <w:t>grannulosa</w:t>
      </w:r>
      <w:proofErr w:type="spellEnd"/>
      <w:r>
        <w:rPr>
          <w:rFonts w:ascii="Arial" w:hAnsi="Arial" w:cs="Arial"/>
          <w:bCs/>
          <w:sz w:val="18"/>
          <w:szCs w:val="18"/>
        </w:rPr>
        <w:t xml:space="preserve"> cells; follicular steroidogenesis is </w:t>
      </w:r>
      <w:proofErr w:type="gramStart"/>
      <w:r>
        <w:rPr>
          <w:rFonts w:ascii="Arial" w:hAnsi="Arial" w:cs="Arial"/>
          <w:bCs/>
          <w:sz w:val="18"/>
          <w:szCs w:val="18"/>
        </w:rPr>
        <w:t>promoted</w:t>
      </w:r>
      <w:proofErr w:type="gramEnd"/>
      <w:r>
        <w:rPr>
          <w:rFonts w:ascii="Arial" w:hAnsi="Arial" w:cs="Arial"/>
          <w:bCs/>
          <w:sz w:val="18"/>
          <w:szCs w:val="18"/>
        </w:rPr>
        <w:t xml:space="preserve"> and LH production is stimulated. The growth of the seminiferous tubules and maintenance of spermatogenesis in men are regulated by FSH. Tumors of the testes generally depress serum FSH concentrations.  High levels of FSH in men may be </w:t>
      </w:r>
      <w:r>
        <w:rPr>
          <w:rFonts w:ascii="Arial" w:hAnsi="Arial" w:cs="Arial"/>
          <w:bCs/>
          <w:sz w:val="18"/>
          <w:szCs w:val="18"/>
        </w:rPr>
        <w:t>found in primary testicular failure and Klinefelter syndrome. Elevated concentrations are also present in cases of starvation, renal failure, hyperthyroidism and cirrhosis.</w:t>
      </w:r>
    </w:p>
    <w:p w14:paraId="6A59B39D" w14:textId="77777777" w:rsidR="00C75912" w:rsidRDefault="00C75912">
      <w:pPr>
        <w:tabs>
          <w:tab w:val="left" w:pos="360"/>
        </w:tabs>
        <w:ind w:left="720" w:hanging="360"/>
        <w:jc w:val="both"/>
        <w:rPr>
          <w:rFonts w:ascii="Arial" w:hAnsi="Arial" w:cs="Arial"/>
          <w:bCs/>
          <w:sz w:val="18"/>
          <w:szCs w:val="18"/>
        </w:rPr>
      </w:pPr>
    </w:p>
    <w:p w14:paraId="0E4C85D0"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PRINCIPLE OF THE ASSAY</w:t>
      </w:r>
    </w:p>
    <w:p w14:paraId="28B62A6C" w14:textId="77777777" w:rsidR="00C75912" w:rsidRDefault="00000000">
      <w:pPr>
        <w:tabs>
          <w:tab w:val="left" w:pos="426"/>
          <w:tab w:val="left" w:pos="851"/>
        </w:tabs>
        <w:ind w:leftChars="180" w:left="360"/>
        <w:jc w:val="both"/>
        <w:rPr>
          <w:rFonts w:ascii="Arial" w:hAnsi="Arial" w:cs="Arial"/>
          <w:bCs/>
          <w:sz w:val="18"/>
          <w:szCs w:val="18"/>
        </w:rPr>
      </w:pPr>
      <w:r>
        <w:rPr>
          <w:rFonts w:ascii="Arial" w:hAnsi="Arial" w:cs="Arial"/>
          <w:bCs/>
          <w:sz w:val="18"/>
          <w:szCs w:val="18"/>
        </w:rPr>
        <w:t>FSH Quantitative Test Kit is a sandwich-based enzyme-linked immunosorbent assay. The test employs polyclonal anti-FSH antibody for solid phase (microtiter wells) immobilization and another mouse monoclonal anti-FSH antibody in the antibody-enzyme (horseradish peroxidase) conjugate solution. The test sample is allowed to react simultaneously with the antibodies, resulting in the FSH molecules being sandwiched between the solid phase and enzyme-linked antibodies. After incubation, the wells are washed to remove unbound labeled antibodies. A solution of TMB is added resulting in the development of a blue color. The color development is stopped by addition of stop solution and absorbance is determined for each well using an ELISA reader. The concentration of FSH is directly proportional to the color intensity of the test sample.</w:t>
      </w:r>
    </w:p>
    <w:p w14:paraId="6F862B00" w14:textId="77777777" w:rsidR="00C75912" w:rsidRDefault="00C75912">
      <w:pPr>
        <w:tabs>
          <w:tab w:val="left" w:pos="426"/>
          <w:tab w:val="left" w:pos="851"/>
        </w:tabs>
        <w:ind w:left="426" w:hanging="66"/>
        <w:jc w:val="both"/>
        <w:rPr>
          <w:rFonts w:ascii="Arial" w:hAnsi="Arial" w:cs="Arial"/>
          <w:bCs/>
          <w:sz w:val="18"/>
          <w:szCs w:val="18"/>
        </w:rPr>
      </w:pPr>
    </w:p>
    <w:p w14:paraId="092CA0EE" w14:textId="77777777" w:rsidR="00C75912" w:rsidRDefault="00000000">
      <w:pPr>
        <w:ind w:left="426" w:hanging="66"/>
        <w:jc w:val="both"/>
        <w:rPr>
          <w:rFonts w:ascii="Arial" w:hAnsi="Arial" w:cs="Arial"/>
          <w:bCs/>
          <w:sz w:val="18"/>
          <w:szCs w:val="18"/>
        </w:rPr>
      </w:pPr>
      <w:r>
        <w:rPr>
          <w:rFonts w:ascii="Arial" w:hAnsi="Arial" w:cs="Arial"/>
          <w:bCs/>
          <w:sz w:val="18"/>
          <w:szCs w:val="18"/>
        </w:rPr>
        <w:t>MATERIALS AND COMPONENTS</w:t>
      </w:r>
    </w:p>
    <w:p w14:paraId="10267CBE" w14:textId="77777777" w:rsidR="00C75912" w:rsidRDefault="00000000">
      <w:pPr>
        <w:ind w:left="426" w:hanging="66"/>
        <w:jc w:val="both"/>
        <w:rPr>
          <w:rFonts w:ascii="Arial" w:hAnsi="Arial" w:cs="Arial"/>
          <w:bCs/>
          <w:sz w:val="18"/>
          <w:szCs w:val="18"/>
        </w:rPr>
      </w:pPr>
      <w:r>
        <w:rPr>
          <w:rFonts w:ascii="Arial" w:hAnsi="Arial" w:cs="Arial"/>
          <w:bCs/>
          <w:sz w:val="18"/>
          <w:szCs w:val="18"/>
        </w:rPr>
        <w:t>Materials provided with the test kits:</w:t>
      </w:r>
    </w:p>
    <w:p w14:paraId="2F8C33EE" w14:textId="77777777" w:rsidR="00C75912" w:rsidRDefault="00000000">
      <w:pPr>
        <w:pStyle w:val="ListParagraph"/>
        <w:numPr>
          <w:ilvl w:val="0"/>
          <w:numId w:val="1"/>
        </w:numPr>
        <w:ind w:leftChars="200" w:left="692" w:hangingChars="162" w:hanging="292"/>
        <w:jc w:val="both"/>
        <w:rPr>
          <w:rFonts w:ascii="Arial" w:hAnsi="Arial" w:cs="Arial"/>
          <w:bCs/>
          <w:sz w:val="18"/>
          <w:szCs w:val="18"/>
        </w:rPr>
      </w:pPr>
      <w:r>
        <w:rPr>
          <w:rFonts w:ascii="Arial" w:hAnsi="Arial" w:cs="Arial"/>
          <w:bCs/>
          <w:sz w:val="18"/>
          <w:szCs w:val="18"/>
        </w:rPr>
        <w:t xml:space="preserve">Coated Microwells: Microwells coated </w:t>
      </w:r>
      <w:r>
        <w:rPr>
          <w:rFonts w:ascii="Arial" w:hAnsi="Arial" w:cs="Arial"/>
          <w:bCs/>
          <w:sz w:val="18"/>
          <w:szCs w:val="18"/>
          <w:lang w:val="en-GB"/>
        </w:rPr>
        <w:t xml:space="preserve">       </w:t>
      </w:r>
      <w:r>
        <w:rPr>
          <w:rFonts w:ascii="Arial" w:hAnsi="Arial" w:cs="Arial"/>
          <w:bCs/>
          <w:sz w:val="18"/>
          <w:szCs w:val="18"/>
        </w:rPr>
        <w:t>with anti- FSH antibody.</w:t>
      </w:r>
    </w:p>
    <w:p w14:paraId="30B10010"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FSH Enzyme Conjugate. Ready to use.</w:t>
      </w:r>
    </w:p>
    <w:p w14:paraId="115C2E0C"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TMB Substrate. Ready to use</w:t>
      </w:r>
    </w:p>
    <w:p w14:paraId="185F39BC"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Stop Solution. Ready to use</w:t>
      </w:r>
    </w:p>
    <w:p w14:paraId="18369DB1" w14:textId="77777777" w:rsidR="00C75912" w:rsidRDefault="00000000">
      <w:pPr>
        <w:pStyle w:val="ListParagraph"/>
        <w:numPr>
          <w:ilvl w:val="0"/>
          <w:numId w:val="1"/>
        </w:numPr>
        <w:ind w:leftChars="200" w:left="710" w:hangingChars="172" w:hanging="310"/>
        <w:jc w:val="both"/>
        <w:rPr>
          <w:rFonts w:ascii="Arial" w:hAnsi="Arial" w:cs="Arial"/>
          <w:bCs/>
          <w:sz w:val="18"/>
          <w:szCs w:val="18"/>
        </w:rPr>
      </w:pPr>
      <w:r>
        <w:rPr>
          <w:rFonts w:ascii="Arial" w:hAnsi="Arial" w:cs="Arial"/>
          <w:bCs/>
          <w:sz w:val="18"/>
          <w:szCs w:val="18"/>
        </w:rPr>
        <w:t>FSH Standard set of 6 standards labeled as A to F in liquid form. Ready to use. For standard Concentrations refer vial label.</w:t>
      </w:r>
    </w:p>
    <w:p w14:paraId="024C5237"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Wash Buffer Concentrate (20X)</w:t>
      </w:r>
    </w:p>
    <w:p w14:paraId="44FAC353"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Control set</w:t>
      </w:r>
    </w:p>
    <w:p w14:paraId="63241B99"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Pack Insert</w:t>
      </w:r>
    </w:p>
    <w:p w14:paraId="7B43A242"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Plate Sealers</w:t>
      </w:r>
    </w:p>
    <w:p w14:paraId="6CB4AA78"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Protocol Sheet</w:t>
      </w:r>
    </w:p>
    <w:p w14:paraId="69FCBE65" w14:textId="77777777" w:rsidR="00C75912" w:rsidRDefault="00000000">
      <w:pPr>
        <w:pStyle w:val="ListParagraph"/>
        <w:numPr>
          <w:ilvl w:val="0"/>
          <w:numId w:val="1"/>
        </w:numPr>
        <w:ind w:leftChars="200" w:left="467" w:hangingChars="37" w:hanging="67"/>
        <w:jc w:val="both"/>
        <w:rPr>
          <w:rFonts w:ascii="Arial" w:hAnsi="Arial" w:cs="Arial"/>
          <w:bCs/>
          <w:sz w:val="18"/>
          <w:szCs w:val="18"/>
        </w:rPr>
      </w:pPr>
      <w:r>
        <w:rPr>
          <w:rFonts w:ascii="Arial" w:hAnsi="Arial" w:cs="Arial"/>
          <w:bCs/>
          <w:sz w:val="18"/>
          <w:szCs w:val="18"/>
        </w:rPr>
        <w:t>Microwell holder</w:t>
      </w:r>
    </w:p>
    <w:p w14:paraId="20210BD3" w14:textId="77777777" w:rsidR="00C75912" w:rsidRDefault="00C75912">
      <w:pPr>
        <w:ind w:leftChars="200" w:left="467" w:hangingChars="37" w:hanging="67"/>
        <w:jc w:val="both"/>
        <w:rPr>
          <w:rFonts w:ascii="Arial" w:hAnsi="Arial" w:cs="Arial"/>
          <w:bCs/>
          <w:sz w:val="18"/>
          <w:szCs w:val="18"/>
        </w:rPr>
      </w:pPr>
    </w:p>
    <w:p w14:paraId="2ECF5D0B" w14:textId="77777777" w:rsidR="00C75912" w:rsidRDefault="00000000">
      <w:pPr>
        <w:ind w:left="426" w:hanging="66"/>
        <w:jc w:val="both"/>
        <w:rPr>
          <w:rFonts w:ascii="Arial" w:hAnsi="Arial" w:cs="Arial"/>
          <w:bCs/>
          <w:sz w:val="18"/>
          <w:szCs w:val="18"/>
        </w:rPr>
      </w:pPr>
      <w:r>
        <w:rPr>
          <w:rFonts w:ascii="Arial" w:hAnsi="Arial" w:cs="Arial"/>
          <w:bCs/>
          <w:sz w:val="18"/>
          <w:szCs w:val="18"/>
        </w:rPr>
        <w:t>Materials required but not provided</w:t>
      </w:r>
    </w:p>
    <w:p w14:paraId="64313C18" w14:textId="77777777" w:rsidR="00C75912" w:rsidRDefault="00000000">
      <w:pPr>
        <w:pStyle w:val="ListParagraph"/>
        <w:numPr>
          <w:ilvl w:val="0"/>
          <w:numId w:val="2"/>
        </w:numPr>
        <w:jc w:val="both"/>
        <w:rPr>
          <w:rFonts w:ascii="Arial" w:hAnsi="Arial" w:cs="Arial"/>
          <w:bCs/>
          <w:sz w:val="18"/>
          <w:szCs w:val="18"/>
        </w:rPr>
      </w:pPr>
      <w:r>
        <w:rPr>
          <w:rFonts w:ascii="Arial" w:hAnsi="Arial" w:cs="Arial"/>
          <w:bCs/>
          <w:sz w:val="18"/>
          <w:szCs w:val="18"/>
        </w:rPr>
        <w:t>Precision pipettes: 10-100µl, 20-200µl, 100-1000µl</w:t>
      </w:r>
    </w:p>
    <w:p w14:paraId="4FDB6166" w14:textId="77777777" w:rsidR="00C75912" w:rsidRDefault="00000000">
      <w:pPr>
        <w:pStyle w:val="ListParagraph"/>
        <w:numPr>
          <w:ilvl w:val="0"/>
          <w:numId w:val="3"/>
        </w:numPr>
        <w:ind w:right="1005"/>
        <w:rPr>
          <w:rFonts w:ascii="Arial" w:hAnsi="Arial" w:cs="Arial"/>
          <w:bCs/>
          <w:sz w:val="18"/>
          <w:szCs w:val="18"/>
        </w:rPr>
      </w:pPr>
      <w:r>
        <w:rPr>
          <w:rFonts w:ascii="Arial" w:hAnsi="Arial" w:cs="Arial"/>
          <w:bCs/>
          <w:sz w:val="18"/>
          <w:szCs w:val="18"/>
        </w:rPr>
        <w:t>Disposable pipette tips</w:t>
      </w:r>
    </w:p>
    <w:p w14:paraId="2E34697C" w14:textId="77777777" w:rsidR="00C75912" w:rsidRDefault="00000000">
      <w:pPr>
        <w:pStyle w:val="ListParagraph"/>
        <w:numPr>
          <w:ilvl w:val="0"/>
          <w:numId w:val="3"/>
        </w:numPr>
        <w:jc w:val="both"/>
        <w:rPr>
          <w:rFonts w:ascii="Arial" w:hAnsi="Arial" w:cs="Arial"/>
          <w:bCs/>
          <w:sz w:val="18"/>
          <w:szCs w:val="18"/>
        </w:rPr>
      </w:pPr>
      <w:r>
        <w:rPr>
          <w:rFonts w:ascii="Arial" w:hAnsi="Arial" w:cs="Arial"/>
          <w:bCs/>
          <w:sz w:val="18"/>
          <w:szCs w:val="18"/>
        </w:rPr>
        <w:t>Distilled water</w:t>
      </w:r>
    </w:p>
    <w:p w14:paraId="2BBF9550" w14:textId="77777777" w:rsidR="00C75912" w:rsidRDefault="00000000">
      <w:pPr>
        <w:pStyle w:val="ListParagraph"/>
        <w:numPr>
          <w:ilvl w:val="0"/>
          <w:numId w:val="3"/>
        </w:numPr>
        <w:rPr>
          <w:rFonts w:ascii="Arial" w:hAnsi="Arial" w:cs="Arial"/>
          <w:bCs/>
          <w:sz w:val="18"/>
          <w:szCs w:val="18"/>
        </w:rPr>
      </w:pPr>
      <w:r>
        <w:rPr>
          <w:rFonts w:ascii="Arial" w:hAnsi="Arial" w:cs="Arial"/>
          <w:bCs/>
          <w:sz w:val="18"/>
          <w:szCs w:val="18"/>
        </w:rPr>
        <w:t>Disposable Gloves</w:t>
      </w:r>
    </w:p>
    <w:p w14:paraId="6FCFDAAD" w14:textId="77777777" w:rsidR="00C75912" w:rsidRDefault="00000000">
      <w:pPr>
        <w:pStyle w:val="ListParagraph"/>
        <w:numPr>
          <w:ilvl w:val="0"/>
          <w:numId w:val="3"/>
        </w:numPr>
        <w:rPr>
          <w:rFonts w:ascii="Arial" w:hAnsi="Arial" w:cs="Arial"/>
          <w:bCs/>
          <w:sz w:val="18"/>
          <w:szCs w:val="18"/>
        </w:rPr>
      </w:pPr>
      <w:r>
        <w:rPr>
          <w:rFonts w:ascii="Arial" w:hAnsi="Arial" w:cs="Arial"/>
          <w:bCs/>
          <w:sz w:val="18"/>
          <w:szCs w:val="18"/>
        </w:rPr>
        <w:t>ELISA reader</w:t>
      </w:r>
    </w:p>
    <w:p w14:paraId="14051D08" w14:textId="77777777" w:rsidR="00C75912" w:rsidRDefault="00000000">
      <w:pPr>
        <w:pStyle w:val="ListParagraph"/>
        <w:numPr>
          <w:ilvl w:val="0"/>
          <w:numId w:val="3"/>
        </w:numPr>
        <w:tabs>
          <w:tab w:val="left" w:pos="360"/>
        </w:tabs>
        <w:rPr>
          <w:rFonts w:ascii="Arial" w:hAnsi="Arial" w:cs="Arial"/>
          <w:bCs/>
          <w:sz w:val="18"/>
          <w:szCs w:val="18"/>
        </w:rPr>
      </w:pPr>
      <w:r>
        <w:rPr>
          <w:rFonts w:ascii="Arial" w:hAnsi="Arial" w:cs="Arial"/>
          <w:bCs/>
          <w:sz w:val="18"/>
          <w:szCs w:val="18"/>
        </w:rPr>
        <w:t>ELISA washer</w:t>
      </w:r>
    </w:p>
    <w:p w14:paraId="23376AE3" w14:textId="77777777" w:rsidR="00C75912" w:rsidRDefault="00C75912">
      <w:pPr>
        <w:tabs>
          <w:tab w:val="left" w:pos="360"/>
        </w:tabs>
        <w:jc w:val="both"/>
        <w:rPr>
          <w:rFonts w:ascii="Arial" w:hAnsi="Arial" w:cs="Arial"/>
          <w:bCs/>
          <w:sz w:val="18"/>
          <w:szCs w:val="18"/>
        </w:rPr>
      </w:pPr>
    </w:p>
    <w:p w14:paraId="200C5C09"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STORAGE AND STABILITY</w:t>
      </w:r>
    </w:p>
    <w:p w14:paraId="15338962"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FSH kit is stable at 2-8°C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expiry date printed on the label.</w:t>
      </w:r>
    </w:p>
    <w:p w14:paraId="752A2C58"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6DF43190"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Diluted Wash Buffer is stable for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one week when stored at 2-8°C.</w:t>
      </w:r>
    </w:p>
    <w:p w14:paraId="4C1E5C6B" w14:textId="77777777" w:rsidR="00C75912" w:rsidRDefault="00C75912">
      <w:pPr>
        <w:tabs>
          <w:tab w:val="left" w:pos="360"/>
        </w:tabs>
        <w:ind w:left="720" w:hanging="360"/>
        <w:jc w:val="both"/>
        <w:rPr>
          <w:rFonts w:ascii="Arial" w:hAnsi="Arial" w:cs="Arial"/>
          <w:bCs/>
          <w:sz w:val="18"/>
          <w:szCs w:val="18"/>
        </w:rPr>
      </w:pPr>
    </w:p>
    <w:p w14:paraId="43CC5F7F"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SPECIMEN COLLECTION</w:t>
      </w:r>
    </w:p>
    <w:p w14:paraId="127850D3"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Collect Blood specimen by venipuncture according to the standard procedure.</w:t>
      </w:r>
    </w:p>
    <w:p w14:paraId="2CC15F48"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Only serum should be used.</w:t>
      </w:r>
    </w:p>
    <w:p w14:paraId="11712294"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Avoid grossly hemolytic, lipemic or turbid samples. </w:t>
      </w:r>
    </w:p>
    <w:p w14:paraId="3C483DF0"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Preferably use fresh samples. However, specimens can be stored up to 48 hours at 2-8°C. </w:t>
      </w:r>
    </w:p>
    <w:p w14:paraId="3A7D068A"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For longer storage, specimens can be frozen at -20°C. Thawed samples must be mixed prior to testing.</w:t>
      </w:r>
    </w:p>
    <w:p w14:paraId="6970BA9D"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Do not heat inactivate before use.</w:t>
      </w:r>
    </w:p>
    <w:p w14:paraId="24B41B1D"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Specimen containing precipitate or particulate matter should be clarified by centrifugation prior to use.</w:t>
      </w:r>
    </w:p>
    <w:p w14:paraId="2C80E79A"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Specimen should be free from particulate matter and microbial contamination.</w:t>
      </w:r>
    </w:p>
    <w:p w14:paraId="6841BE08" w14:textId="77777777" w:rsidR="00C75912" w:rsidRDefault="00C75912">
      <w:pPr>
        <w:tabs>
          <w:tab w:val="left" w:pos="360"/>
        </w:tabs>
        <w:ind w:left="720" w:hanging="360"/>
        <w:jc w:val="both"/>
        <w:rPr>
          <w:rFonts w:ascii="Arial" w:hAnsi="Arial" w:cs="Arial"/>
          <w:bCs/>
          <w:sz w:val="18"/>
          <w:szCs w:val="18"/>
        </w:rPr>
      </w:pPr>
    </w:p>
    <w:p w14:paraId="3D2436DC"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PRECAUTIONS</w:t>
      </w:r>
    </w:p>
    <w:p w14:paraId="31597CBA"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Bring all reagents and specimen to room temperature before use. </w:t>
      </w:r>
    </w:p>
    <w:p w14:paraId="5112A723"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Do not pipette any material by mouth. </w:t>
      </w:r>
    </w:p>
    <w:p w14:paraId="53A2D310"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Do not eat, drink or smoke in the area where </w:t>
      </w:r>
      <w:proofErr w:type="gramStart"/>
      <w:r>
        <w:rPr>
          <w:rFonts w:ascii="Arial" w:hAnsi="Arial" w:cs="Arial"/>
          <w:bCs/>
          <w:sz w:val="18"/>
          <w:szCs w:val="18"/>
        </w:rPr>
        <w:t>testing</w:t>
      </w:r>
      <w:proofErr w:type="gramEnd"/>
      <w:r>
        <w:rPr>
          <w:rFonts w:ascii="Arial" w:hAnsi="Arial" w:cs="Arial"/>
          <w:bCs/>
          <w:sz w:val="18"/>
          <w:szCs w:val="18"/>
        </w:rPr>
        <w:t xml:space="preserve"> is done. </w:t>
      </w:r>
    </w:p>
    <w:p w14:paraId="2887F57D"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Use protective clothing and wear gloves when handling samples. </w:t>
      </w:r>
    </w:p>
    <w:p w14:paraId="02E18CBD"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 xml:space="preserve">Use absorbent sheet to cover the working area. </w:t>
      </w:r>
    </w:p>
    <w:p w14:paraId="21E0D759"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Immediately clean up any spills with sodium hypochlorite.</w:t>
      </w:r>
    </w:p>
    <w:p w14:paraId="49B23D03"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lastRenderedPageBreak/>
        <w:t>7.</w:t>
      </w:r>
      <w:r>
        <w:rPr>
          <w:rFonts w:ascii="Arial" w:hAnsi="Arial" w:cs="Arial"/>
          <w:bCs/>
          <w:sz w:val="18"/>
          <w:szCs w:val="18"/>
        </w:rPr>
        <w:tab/>
        <w:t xml:space="preserve">All specimens, standards and controls should be considered potentially </w:t>
      </w:r>
      <w:r>
        <w:rPr>
          <w:rFonts w:ascii="Arial" w:hAnsi="Arial" w:cs="Arial"/>
          <w:bCs/>
          <w:sz w:val="18"/>
          <w:szCs w:val="18"/>
        </w:rPr>
        <w:tab/>
        <w:t xml:space="preserve">infectious and discarded appropriately. </w:t>
      </w:r>
    </w:p>
    <w:p w14:paraId="55DB781A"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 xml:space="preserve">Neutralize acid containing waste before adding hypochlorite. </w:t>
      </w:r>
    </w:p>
    <w:p w14:paraId="5F9B5961"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 xml:space="preserve">Do not use kit after the expiry date. </w:t>
      </w:r>
    </w:p>
    <w:p w14:paraId="65C0D991"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10.</w:t>
      </w:r>
      <w:r>
        <w:rPr>
          <w:rFonts w:ascii="Arial" w:hAnsi="Arial" w:cs="Arial"/>
          <w:bCs/>
          <w:sz w:val="18"/>
          <w:szCs w:val="18"/>
        </w:rPr>
        <w:tab/>
        <w:t>Do not mix components of one kit with another.</w:t>
      </w:r>
    </w:p>
    <w:p w14:paraId="32678F21"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11.</w:t>
      </w:r>
      <w:r>
        <w:rPr>
          <w:rFonts w:ascii="Arial" w:hAnsi="Arial" w:cs="Arial"/>
          <w:bCs/>
          <w:sz w:val="18"/>
          <w:szCs w:val="18"/>
        </w:rPr>
        <w:tab/>
        <w:t xml:space="preserve">Always use new tip for each specimen and reagent. </w:t>
      </w:r>
    </w:p>
    <w:p w14:paraId="49EABDB4"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12.</w:t>
      </w:r>
      <w:r>
        <w:rPr>
          <w:rFonts w:ascii="Arial" w:hAnsi="Arial" w:cs="Arial"/>
          <w:bCs/>
          <w:sz w:val="18"/>
          <w:szCs w:val="18"/>
        </w:rPr>
        <w:tab/>
        <w:t xml:space="preserve">Do not allow liquid from one well to mix with other wells. </w:t>
      </w:r>
    </w:p>
    <w:p w14:paraId="4D7C7EA0"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13.</w:t>
      </w:r>
      <w:r>
        <w:rPr>
          <w:rFonts w:ascii="Arial" w:hAnsi="Arial" w:cs="Arial"/>
          <w:bCs/>
          <w:sz w:val="18"/>
          <w:szCs w:val="18"/>
        </w:rPr>
        <w:tab/>
        <w:t>Do not let the strips dry in between the steps.</w:t>
      </w:r>
    </w:p>
    <w:p w14:paraId="3C12B0F8" w14:textId="77777777" w:rsidR="00C75912" w:rsidRDefault="00C75912">
      <w:pPr>
        <w:tabs>
          <w:tab w:val="left" w:pos="360"/>
        </w:tabs>
        <w:ind w:left="720" w:hanging="360"/>
        <w:jc w:val="both"/>
        <w:rPr>
          <w:rFonts w:ascii="Arial" w:hAnsi="Arial" w:cs="Arial"/>
          <w:bCs/>
          <w:sz w:val="18"/>
          <w:szCs w:val="18"/>
        </w:rPr>
      </w:pPr>
    </w:p>
    <w:p w14:paraId="341BE2B3"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REAGENT PREPARATION</w:t>
      </w:r>
    </w:p>
    <w:p w14:paraId="2CD4C73E"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All reagents should be brought to room temperature (18-25°C) and mixed by gently inverting or swirling prior to use.  Do not induce foaming.</w:t>
      </w:r>
    </w:p>
    <w:p w14:paraId="79EC63AC"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Dilute Wash Buffer 20 times (for example add 5ml concentrated buffer to 95 ml distilled or deionized water). Mix well before use. </w:t>
      </w:r>
    </w:p>
    <w:p w14:paraId="7CB8A8A1" w14:textId="77777777" w:rsidR="00C75912" w:rsidRDefault="00C75912">
      <w:pPr>
        <w:tabs>
          <w:tab w:val="left" w:pos="360"/>
        </w:tabs>
        <w:ind w:left="720" w:hanging="360"/>
        <w:jc w:val="both"/>
        <w:rPr>
          <w:rFonts w:ascii="Arial" w:hAnsi="Arial" w:cs="Arial"/>
          <w:bCs/>
          <w:sz w:val="18"/>
          <w:szCs w:val="18"/>
        </w:rPr>
      </w:pPr>
    </w:p>
    <w:p w14:paraId="532A1F19"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TEST PROCEDURE</w:t>
      </w:r>
    </w:p>
    <w:p w14:paraId="11F7F09B"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Secure the desired number of coated wells in the holder. Dispense 25 µl of standards, controls and sera into the appropriate wells.  </w:t>
      </w:r>
    </w:p>
    <w:p w14:paraId="6FD61AB6"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Dispense 50 µl of Enzyme Conjugate into each well. Incubate at room temperature (18-25°C), for 45 minutes.</w:t>
      </w:r>
    </w:p>
    <w:p w14:paraId="03CB9EFF"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359F5F40"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Dispense 100 µl of TMB Substrate into each well. Incubate at room temperature(18-25°C) in the dark, for 20 minutes.</w:t>
      </w:r>
    </w:p>
    <w:p w14:paraId="3E15E015"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 xml:space="preserve">Stop the reaction by adding 100 µl of Stop Solution to each well. Gently mix for 10 seconds until the blue color completely changes to yellow.   </w:t>
      </w:r>
    </w:p>
    <w:p w14:paraId="68426A8E"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Read the optical density at 450/630 nm with a microtiter plate reader within 15 minutes.</w:t>
      </w:r>
    </w:p>
    <w:p w14:paraId="56FEBD20" w14:textId="77777777" w:rsidR="00C75912" w:rsidRDefault="00C75912">
      <w:pPr>
        <w:tabs>
          <w:tab w:val="left" w:pos="360"/>
        </w:tabs>
        <w:ind w:left="720" w:hanging="360"/>
        <w:jc w:val="both"/>
        <w:rPr>
          <w:rFonts w:ascii="Arial" w:hAnsi="Arial" w:cs="Arial"/>
          <w:bCs/>
          <w:sz w:val="18"/>
          <w:szCs w:val="18"/>
        </w:rPr>
      </w:pPr>
    </w:p>
    <w:tbl>
      <w:tblPr>
        <w:tblW w:w="429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2"/>
      </w:tblGrid>
      <w:tr w:rsidR="00C75912" w14:paraId="721536F3" w14:textId="77777777">
        <w:trPr>
          <w:trHeight w:val="360"/>
        </w:trPr>
        <w:tc>
          <w:tcPr>
            <w:tcW w:w="4292" w:type="dxa"/>
            <w:shd w:val="clear" w:color="auto" w:fill="auto"/>
          </w:tcPr>
          <w:p w14:paraId="05AA51EA" w14:textId="77777777" w:rsidR="00C75912" w:rsidRDefault="00000000">
            <w:pPr>
              <w:tabs>
                <w:tab w:val="left" w:pos="360"/>
              </w:tabs>
              <w:jc w:val="both"/>
              <w:rPr>
                <w:rFonts w:ascii="Arial" w:hAnsi="Arial" w:cs="Arial"/>
                <w:bCs/>
                <w:sz w:val="18"/>
                <w:szCs w:val="18"/>
              </w:rPr>
            </w:pPr>
            <w:r>
              <w:rPr>
                <w:rFonts w:ascii="Arial" w:hAnsi="Arial" w:cs="Arial"/>
                <w:bCs/>
                <w:sz w:val="18"/>
                <w:szCs w:val="18"/>
              </w:rPr>
              <w:t>Add 25 µl Standards/Controls/Samples into the respective Microwells</w:t>
            </w:r>
          </w:p>
        </w:tc>
      </w:tr>
    </w:tbl>
    <w:p w14:paraId="32EA0A47" w14:textId="77777777" w:rsidR="00C7591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5C3A3265" wp14:editId="3FAC3118">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57992553" w14:textId="77777777" w:rsidR="00C75912" w:rsidRDefault="00C75912">
      <w:pPr>
        <w:tabs>
          <w:tab w:val="left" w:pos="360"/>
        </w:tabs>
        <w:ind w:left="360" w:hanging="360"/>
        <w:jc w:val="both"/>
        <w:rPr>
          <w:rFonts w:ascii="Arial" w:hAnsi="Arial" w:cs="Arial"/>
          <w:bCs/>
          <w:sz w:val="18"/>
          <w:szCs w:val="18"/>
        </w:rPr>
      </w:pPr>
    </w:p>
    <w:tbl>
      <w:tblPr>
        <w:tblW w:w="429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2"/>
      </w:tblGrid>
      <w:tr w:rsidR="00C75912" w14:paraId="2A2E6CC3" w14:textId="77777777">
        <w:trPr>
          <w:trHeight w:val="275"/>
        </w:trPr>
        <w:tc>
          <w:tcPr>
            <w:tcW w:w="4292" w:type="dxa"/>
            <w:shd w:val="clear" w:color="auto" w:fill="auto"/>
          </w:tcPr>
          <w:p w14:paraId="2939D1B2" w14:textId="77777777" w:rsidR="00C75912" w:rsidRDefault="00000000">
            <w:pPr>
              <w:tabs>
                <w:tab w:val="left" w:pos="360"/>
              </w:tabs>
              <w:jc w:val="both"/>
              <w:rPr>
                <w:rFonts w:ascii="Arial" w:hAnsi="Arial" w:cs="Arial"/>
                <w:bCs/>
                <w:sz w:val="18"/>
                <w:szCs w:val="18"/>
              </w:rPr>
            </w:pPr>
            <w:r>
              <w:rPr>
                <w:rFonts w:ascii="Arial" w:hAnsi="Arial" w:cs="Arial"/>
                <w:bCs/>
                <w:sz w:val="18"/>
                <w:szCs w:val="18"/>
              </w:rPr>
              <w:t>Add 50 µl Enzyme conjugate in each well</w:t>
            </w:r>
          </w:p>
        </w:tc>
      </w:tr>
    </w:tbl>
    <w:p w14:paraId="520F392C" w14:textId="77777777" w:rsidR="00C7591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4BE44ED8" wp14:editId="10B1883E">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2D114000" w14:textId="77777777" w:rsidR="00C75912" w:rsidRDefault="00C75912">
      <w:pPr>
        <w:tabs>
          <w:tab w:val="left" w:pos="360"/>
        </w:tabs>
        <w:ind w:left="360" w:hanging="360"/>
        <w:jc w:val="both"/>
        <w:rPr>
          <w:rFonts w:ascii="Arial" w:hAnsi="Arial" w:cs="Arial"/>
          <w:bCs/>
          <w:sz w:val="18"/>
          <w:szCs w:val="18"/>
        </w:rPr>
      </w:pPr>
    </w:p>
    <w:tbl>
      <w:tblPr>
        <w:tblW w:w="3842"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2"/>
      </w:tblGrid>
      <w:tr w:rsidR="00C75912" w14:paraId="34CDCACE" w14:textId="77777777">
        <w:trPr>
          <w:trHeight w:val="376"/>
        </w:trPr>
        <w:tc>
          <w:tcPr>
            <w:tcW w:w="3842" w:type="dxa"/>
            <w:shd w:val="clear" w:color="auto" w:fill="auto"/>
          </w:tcPr>
          <w:p w14:paraId="09D112E0" w14:textId="77777777" w:rsidR="00C75912"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18-25°C</w:t>
            </w:r>
          </w:p>
        </w:tc>
      </w:tr>
    </w:tbl>
    <w:p w14:paraId="55EA19DA" w14:textId="77777777" w:rsidR="00C7591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05C468DA" wp14:editId="5AF71AC2">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10EE91F2" w14:textId="77777777" w:rsidR="00C75912" w:rsidRDefault="00C75912">
      <w:pPr>
        <w:tabs>
          <w:tab w:val="left" w:pos="360"/>
        </w:tabs>
        <w:ind w:left="360" w:hanging="360"/>
        <w:jc w:val="both"/>
        <w:rPr>
          <w:rFonts w:ascii="Arial" w:hAnsi="Arial" w:cs="Arial"/>
          <w:bCs/>
          <w:sz w:val="18"/>
          <w:szCs w:val="18"/>
        </w:rPr>
      </w:pPr>
    </w:p>
    <w:tbl>
      <w:tblPr>
        <w:tblW w:w="3854"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4"/>
      </w:tblGrid>
      <w:tr w:rsidR="00C75912" w14:paraId="5CE676BF" w14:textId="77777777">
        <w:trPr>
          <w:trHeight w:val="303"/>
        </w:trPr>
        <w:tc>
          <w:tcPr>
            <w:tcW w:w="3854" w:type="dxa"/>
            <w:shd w:val="clear" w:color="auto" w:fill="auto"/>
          </w:tcPr>
          <w:p w14:paraId="2B61AAE9" w14:textId="77777777" w:rsidR="00C75912"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10666FE1" w14:textId="77777777" w:rsidR="00C7591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54CA5AB8" wp14:editId="7207214D">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44DED332" w14:textId="77777777" w:rsidR="00C75912" w:rsidRDefault="00C75912">
      <w:pPr>
        <w:tabs>
          <w:tab w:val="left" w:pos="360"/>
        </w:tabs>
        <w:ind w:left="360" w:hanging="360"/>
        <w:jc w:val="both"/>
        <w:rPr>
          <w:rFonts w:ascii="Arial" w:hAnsi="Arial" w:cs="Arial"/>
          <w:bCs/>
          <w:sz w:val="18"/>
          <w:szCs w:val="18"/>
        </w:rPr>
      </w:pPr>
    </w:p>
    <w:tbl>
      <w:tblPr>
        <w:tblW w:w="3842"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2"/>
      </w:tblGrid>
      <w:tr w:rsidR="00C75912" w14:paraId="76335271" w14:textId="77777777">
        <w:tc>
          <w:tcPr>
            <w:tcW w:w="3842" w:type="dxa"/>
            <w:shd w:val="clear" w:color="auto" w:fill="auto"/>
          </w:tcPr>
          <w:p w14:paraId="3358F171" w14:textId="77777777" w:rsidR="00C75912"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29EEA373" w14:textId="77777777" w:rsidR="00C7591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16958CB9" wp14:editId="02445187">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430149EB" w14:textId="77777777" w:rsidR="00C75912" w:rsidRDefault="00C75912">
      <w:pPr>
        <w:tabs>
          <w:tab w:val="left" w:pos="360"/>
        </w:tabs>
        <w:ind w:left="360" w:hanging="360"/>
        <w:jc w:val="both"/>
        <w:rPr>
          <w:rFonts w:ascii="Arial" w:hAnsi="Arial" w:cs="Arial"/>
          <w:bCs/>
          <w:sz w:val="18"/>
          <w:szCs w:val="18"/>
        </w:rPr>
      </w:pPr>
    </w:p>
    <w:tbl>
      <w:tblPr>
        <w:tblW w:w="381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7"/>
      </w:tblGrid>
      <w:tr w:rsidR="00C75912" w14:paraId="256576DE" w14:textId="77777777">
        <w:tc>
          <w:tcPr>
            <w:tcW w:w="3817" w:type="dxa"/>
            <w:shd w:val="clear" w:color="auto" w:fill="auto"/>
          </w:tcPr>
          <w:p w14:paraId="237D9FBA" w14:textId="77777777" w:rsidR="00C75912" w:rsidRDefault="00000000">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408DE363" w14:textId="77777777" w:rsidR="00C7591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11F863FD" wp14:editId="0120A062">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1E592469" w14:textId="77777777" w:rsidR="00C75912" w:rsidRDefault="00C75912">
      <w:pPr>
        <w:tabs>
          <w:tab w:val="left" w:pos="360"/>
        </w:tabs>
        <w:ind w:left="360" w:hanging="360"/>
        <w:jc w:val="both"/>
        <w:rPr>
          <w:rFonts w:ascii="Arial" w:hAnsi="Arial" w:cs="Arial"/>
          <w:bCs/>
          <w:sz w:val="18"/>
          <w:szCs w:val="18"/>
        </w:rPr>
      </w:pPr>
    </w:p>
    <w:tbl>
      <w:tblPr>
        <w:tblW w:w="3804" w:type="dxa"/>
        <w:tblInd w:w="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4"/>
      </w:tblGrid>
      <w:tr w:rsidR="00C75912" w14:paraId="2C5EDE1E" w14:textId="77777777">
        <w:trPr>
          <w:trHeight w:val="303"/>
        </w:trPr>
        <w:tc>
          <w:tcPr>
            <w:tcW w:w="3804" w:type="dxa"/>
            <w:shd w:val="clear" w:color="auto" w:fill="auto"/>
          </w:tcPr>
          <w:p w14:paraId="5CD682A5" w14:textId="77777777" w:rsidR="00C75912"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4E7BE722" w14:textId="77777777" w:rsidR="00C7591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5BB56DF2" wp14:editId="5A47CC68">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025EF313" w14:textId="77777777" w:rsidR="00C75912" w:rsidRDefault="00C75912">
      <w:pPr>
        <w:tabs>
          <w:tab w:val="left" w:pos="360"/>
        </w:tabs>
        <w:ind w:left="360" w:hanging="360"/>
        <w:jc w:val="both"/>
        <w:rPr>
          <w:rFonts w:ascii="Arial" w:hAnsi="Arial" w:cs="Arial"/>
          <w:bCs/>
          <w:sz w:val="18"/>
          <w:szCs w:val="18"/>
        </w:rPr>
      </w:pPr>
    </w:p>
    <w:tbl>
      <w:tblPr>
        <w:tblW w:w="3804" w:type="dxa"/>
        <w:tblInd w:w="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4"/>
      </w:tblGrid>
      <w:tr w:rsidR="00C75912" w14:paraId="007D2D6D" w14:textId="77777777">
        <w:tc>
          <w:tcPr>
            <w:tcW w:w="3804" w:type="dxa"/>
            <w:shd w:val="clear" w:color="auto" w:fill="auto"/>
          </w:tcPr>
          <w:p w14:paraId="0F9FCCB6" w14:textId="77777777" w:rsidR="00C75912"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5D4467C4" w14:textId="77777777" w:rsidR="00C75912" w:rsidRDefault="00C75912">
      <w:pPr>
        <w:tabs>
          <w:tab w:val="left" w:pos="360"/>
        </w:tabs>
        <w:ind w:left="360" w:hanging="360"/>
        <w:jc w:val="both"/>
        <w:rPr>
          <w:rFonts w:ascii="Arial" w:hAnsi="Arial" w:cs="Arial"/>
          <w:bCs/>
          <w:sz w:val="18"/>
          <w:szCs w:val="18"/>
        </w:rPr>
      </w:pPr>
    </w:p>
    <w:p w14:paraId="244DBAC0" w14:textId="77777777" w:rsidR="00C75912" w:rsidRDefault="00C75912">
      <w:pPr>
        <w:tabs>
          <w:tab w:val="left" w:pos="360"/>
        </w:tabs>
        <w:ind w:left="360" w:hanging="360"/>
        <w:jc w:val="both"/>
        <w:rPr>
          <w:rFonts w:ascii="Arial" w:hAnsi="Arial" w:cs="Arial"/>
          <w:bCs/>
          <w:sz w:val="18"/>
          <w:szCs w:val="18"/>
        </w:rPr>
      </w:pPr>
    </w:p>
    <w:p w14:paraId="55020FF2" w14:textId="77777777" w:rsidR="00C75912"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4B2A9998" w14:textId="77777777" w:rsidR="00C75912" w:rsidRDefault="00000000">
      <w:pPr>
        <w:tabs>
          <w:tab w:val="left" w:pos="360"/>
        </w:tabs>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standards against its concentrations in </w:t>
      </w:r>
      <w:proofErr w:type="spellStart"/>
      <w:r>
        <w:rPr>
          <w:rFonts w:ascii="Arial" w:hAnsi="Arial" w:cs="Arial"/>
          <w:bCs/>
          <w:sz w:val="18"/>
          <w:szCs w:val="18"/>
        </w:rPr>
        <w:t>mIU</w:t>
      </w:r>
      <w:proofErr w:type="spellEnd"/>
      <w:r>
        <w:rPr>
          <w:rFonts w:ascii="Arial" w:hAnsi="Arial" w:cs="Arial"/>
          <w:bCs/>
          <w:sz w:val="18"/>
          <w:szCs w:val="18"/>
        </w:rPr>
        <w:t xml:space="preserve">/ml on the graph paper, with absorbance values on the vertical or Y axis and concentrations on the horizontal or X axis.  Use the absorbance values for each specimen to determine the corresponding concentration of FSH in </w:t>
      </w:r>
      <w:proofErr w:type="spellStart"/>
      <w:r>
        <w:rPr>
          <w:rFonts w:ascii="Arial" w:hAnsi="Arial" w:cs="Arial"/>
          <w:bCs/>
          <w:sz w:val="18"/>
          <w:szCs w:val="18"/>
        </w:rPr>
        <w:t>mIU</w:t>
      </w:r>
      <w:proofErr w:type="spellEnd"/>
      <w:r>
        <w:rPr>
          <w:rFonts w:ascii="Arial" w:hAnsi="Arial" w:cs="Arial"/>
          <w:bCs/>
          <w:sz w:val="18"/>
          <w:szCs w:val="18"/>
        </w:rPr>
        <w:t>/ml from the standard curve.  Any diluted specimens must be corrected by the appropriate dilution factor.</w:t>
      </w:r>
    </w:p>
    <w:p w14:paraId="3C533E86" w14:textId="77777777" w:rsidR="00C75912" w:rsidRDefault="00C75912">
      <w:pPr>
        <w:tabs>
          <w:tab w:val="left" w:pos="360"/>
        </w:tabs>
        <w:jc w:val="both"/>
        <w:rPr>
          <w:rFonts w:ascii="Arial" w:hAnsi="Arial" w:cs="Arial"/>
          <w:bCs/>
          <w:sz w:val="18"/>
          <w:szCs w:val="18"/>
        </w:rPr>
      </w:pPr>
    </w:p>
    <w:p w14:paraId="60928081" w14:textId="77777777" w:rsidR="00C75912"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6F58CF4B" w14:textId="77777777" w:rsidR="00C75912" w:rsidRDefault="00000000">
      <w:pPr>
        <w:tabs>
          <w:tab w:val="left" w:pos="360"/>
        </w:tabs>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FSH concentrations shown in the X axis.</w:t>
      </w:r>
    </w:p>
    <w:p w14:paraId="3D1568CE" w14:textId="77777777" w:rsidR="00C75912" w:rsidRDefault="00000000">
      <w:pPr>
        <w:tabs>
          <w:tab w:val="left" w:pos="360"/>
        </w:tabs>
        <w:jc w:val="both"/>
        <w:rPr>
          <w:rFonts w:ascii="Arial" w:hAnsi="Arial" w:cs="Arial"/>
          <w:bCs/>
          <w:sz w:val="18"/>
          <w:szCs w:val="18"/>
        </w:rPr>
      </w:pPr>
      <w:r>
        <w:rPr>
          <w:rFonts w:ascii="Arial" w:hAnsi="Arial" w:cs="Arial"/>
          <w:bCs/>
          <w:sz w:val="18"/>
          <w:szCs w:val="18"/>
        </w:rPr>
        <w:t xml:space="preserve">Suggest: Use 4-Parameter Standard curve to calculate sample values. </w:t>
      </w:r>
    </w:p>
    <w:p w14:paraId="29D35B18" w14:textId="77777777" w:rsidR="000D728D" w:rsidRDefault="000D728D">
      <w:pPr>
        <w:tabs>
          <w:tab w:val="left" w:pos="360"/>
        </w:tabs>
        <w:jc w:val="both"/>
        <w:rPr>
          <w:rFonts w:ascii="Arial" w:hAnsi="Arial" w:cs="Arial"/>
          <w:bCs/>
          <w:sz w:val="18"/>
          <w:szCs w:val="18"/>
        </w:rPr>
      </w:pPr>
    </w:p>
    <w:p w14:paraId="242F5EE5" w14:textId="77777777" w:rsidR="000D728D" w:rsidRDefault="000D728D">
      <w:pPr>
        <w:tabs>
          <w:tab w:val="left" w:pos="360"/>
        </w:tabs>
        <w:jc w:val="both"/>
        <w:rPr>
          <w:rFonts w:ascii="Arial" w:hAnsi="Arial" w:cs="Arial"/>
          <w:bCs/>
          <w:sz w:val="18"/>
          <w:szCs w:val="18"/>
        </w:rPr>
      </w:pPr>
    </w:p>
    <w:p w14:paraId="7C0775A8" w14:textId="77777777" w:rsidR="000D728D" w:rsidRDefault="000D728D">
      <w:pPr>
        <w:tabs>
          <w:tab w:val="left" w:pos="360"/>
        </w:tabs>
        <w:jc w:val="both"/>
        <w:rPr>
          <w:rFonts w:ascii="Arial" w:hAnsi="Arial" w:cs="Arial"/>
          <w:bCs/>
          <w:sz w:val="18"/>
          <w:szCs w:val="18"/>
        </w:rPr>
      </w:pPr>
    </w:p>
    <w:p w14:paraId="50A1A855" w14:textId="77777777" w:rsidR="000D728D" w:rsidRDefault="000D728D">
      <w:pPr>
        <w:tabs>
          <w:tab w:val="left" w:pos="360"/>
        </w:tabs>
        <w:jc w:val="both"/>
        <w:rPr>
          <w:rFonts w:ascii="Arial" w:hAnsi="Arial" w:cs="Arial"/>
          <w:bCs/>
          <w:sz w:val="18"/>
          <w:szCs w:val="18"/>
        </w:rPr>
      </w:pPr>
    </w:p>
    <w:p w14:paraId="432AC24C" w14:textId="77777777" w:rsidR="000D728D" w:rsidRDefault="000D728D">
      <w:pPr>
        <w:tabs>
          <w:tab w:val="left" w:pos="360"/>
        </w:tabs>
        <w:jc w:val="both"/>
        <w:rPr>
          <w:rFonts w:ascii="Arial" w:hAnsi="Arial" w:cs="Arial"/>
          <w:bCs/>
          <w:sz w:val="18"/>
          <w:szCs w:val="18"/>
        </w:rPr>
      </w:pPr>
    </w:p>
    <w:p w14:paraId="155C8442" w14:textId="77777777" w:rsidR="000D728D" w:rsidRDefault="000D728D">
      <w:pPr>
        <w:tabs>
          <w:tab w:val="left" w:pos="360"/>
        </w:tabs>
        <w:jc w:val="both"/>
        <w:rPr>
          <w:rFonts w:ascii="Arial" w:hAnsi="Arial" w:cs="Arial"/>
          <w:bCs/>
          <w:sz w:val="18"/>
          <w:szCs w:val="18"/>
        </w:rPr>
      </w:pPr>
    </w:p>
    <w:p w14:paraId="5C504D40" w14:textId="77777777" w:rsidR="000D728D" w:rsidRDefault="000D728D">
      <w:pPr>
        <w:tabs>
          <w:tab w:val="left" w:pos="360"/>
        </w:tabs>
        <w:jc w:val="both"/>
        <w:rPr>
          <w:rFonts w:ascii="Arial" w:hAnsi="Arial" w:cs="Arial"/>
          <w:bCs/>
          <w:sz w:val="18"/>
          <w:szCs w:val="18"/>
        </w:rPr>
      </w:pPr>
    </w:p>
    <w:p w14:paraId="79628AB6" w14:textId="77777777" w:rsidR="00C75912" w:rsidRDefault="00C75912">
      <w:pPr>
        <w:tabs>
          <w:tab w:val="left" w:pos="360"/>
        </w:tabs>
        <w:jc w:val="both"/>
        <w:rPr>
          <w:rFonts w:ascii="Arial" w:hAnsi="Arial" w:cs="Arial"/>
          <w:bCs/>
          <w:sz w:val="18"/>
          <w:szCs w:val="18"/>
        </w:rPr>
      </w:pPr>
    </w:p>
    <w:tbl>
      <w:tblPr>
        <w:tblStyle w:val="TableGrid"/>
        <w:tblW w:w="4275" w:type="dxa"/>
        <w:tblInd w:w="400" w:type="dxa"/>
        <w:tblLook w:val="04A0" w:firstRow="1" w:lastRow="0" w:firstColumn="1" w:lastColumn="0" w:noHBand="0" w:noVBand="1"/>
      </w:tblPr>
      <w:tblGrid>
        <w:gridCol w:w="1722"/>
        <w:gridCol w:w="2553"/>
      </w:tblGrid>
      <w:tr w:rsidR="00C75912" w14:paraId="0E29E227" w14:textId="77777777" w:rsidTr="000D728D">
        <w:tc>
          <w:tcPr>
            <w:tcW w:w="1722" w:type="dxa"/>
          </w:tcPr>
          <w:p w14:paraId="54706D30" w14:textId="77777777" w:rsidR="00C75912" w:rsidRDefault="00000000">
            <w:pPr>
              <w:tabs>
                <w:tab w:val="left" w:pos="360"/>
              </w:tabs>
              <w:jc w:val="both"/>
              <w:rPr>
                <w:rFonts w:ascii="Arial" w:hAnsi="Arial" w:cs="Arial"/>
                <w:bCs/>
                <w:sz w:val="18"/>
                <w:szCs w:val="18"/>
              </w:rPr>
            </w:pPr>
            <w:r>
              <w:rPr>
                <w:rFonts w:ascii="Arial" w:hAnsi="Arial" w:cs="Arial"/>
                <w:bCs/>
                <w:sz w:val="18"/>
                <w:szCs w:val="18"/>
              </w:rPr>
              <w:t>FSH Values (</w:t>
            </w:r>
            <w:proofErr w:type="spellStart"/>
            <w:r>
              <w:rPr>
                <w:rFonts w:ascii="Arial" w:hAnsi="Arial" w:cs="Arial"/>
                <w:bCs/>
                <w:sz w:val="18"/>
                <w:szCs w:val="18"/>
              </w:rPr>
              <w:t>mIU</w:t>
            </w:r>
            <w:proofErr w:type="spellEnd"/>
            <w:r>
              <w:rPr>
                <w:rFonts w:ascii="Arial" w:hAnsi="Arial" w:cs="Arial"/>
                <w:bCs/>
                <w:sz w:val="18"/>
                <w:szCs w:val="18"/>
              </w:rPr>
              <w:t>/ml)</w:t>
            </w:r>
          </w:p>
        </w:tc>
        <w:tc>
          <w:tcPr>
            <w:tcW w:w="2553" w:type="dxa"/>
          </w:tcPr>
          <w:p w14:paraId="7819BB0D" w14:textId="77777777" w:rsidR="00C75912" w:rsidRDefault="00000000">
            <w:pPr>
              <w:tabs>
                <w:tab w:val="left" w:pos="360"/>
              </w:tabs>
              <w:jc w:val="both"/>
              <w:rPr>
                <w:rFonts w:ascii="Arial" w:hAnsi="Arial" w:cs="Arial"/>
                <w:bCs/>
                <w:sz w:val="18"/>
                <w:szCs w:val="18"/>
              </w:rPr>
            </w:pPr>
            <w:r>
              <w:rPr>
                <w:rFonts w:ascii="Arial" w:hAnsi="Arial" w:cs="Arial"/>
                <w:bCs/>
                <w:sz w:val="18"/>
                <w:szCs w:val="18"/>
              </w:rPr>
              <w:t xml:space="preserve">Absorbance (450nm) </w:t>
            </w:r>
          </w:p>
        </w:tc>
      </w:tr>
      <w:tr w:rsidR="00C75912" w14:paraId="0E4891C6" w14:textId="77777777" w:rsidTr="000D728D">
        <w:tc>
          <w:tcPr>
            <w:tcW w:w="1722" w:type="dxa"/>
          </w:tcPr>
          <w:p w14:paraId="77D5B287"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A</w:t>
            </w:r>
          </w:p>
        </w:tc>
        <w:tc>
          <w:tcPr>
            <w:tcW w:w="2553" w:type="dxa"/>
          </w:tcPr>
          <w:p w14:paraId="5C2EE65E"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0.013</w:t>
            </w:r>
          </w:p>
        </w:tc>
      </w:tr>
      <w:tr w:rsidR="00C75912" w14:paraId="5A3F0F12" w14:textId="77777777" w:rsidTr="000D728D">
        <w:tc>
          <w:tcPr>
            <w:tcW w:w="1722" w:type="dxa"/>
          </w:tcPr>
          <w:p w14:paraId="110D0271"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B</w:t>
            </w:r>
          </w:p>
        </w:tc>
        <w:tc>
          <w:tcPr>
            <w:tcW w:w="2553" w:type="dxa"/>
          </w:tcPr>
          <w:p w14:paraId="3B2374A7"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0.149</w:t>
            </w:r>
          </w:p>
        </w:tc>
      </w:tr>
      <w:tr w:rsidR="00C75912" w14:paraId="751C0EBA" w14:textId="77777777" w:rsidTr="000D728D">
        <w:tc>
          <w:tcPr>
            <w:tcW w:w="1722" w:type="dxa"/>
          </w:tcPr>
          <w:p w14:paraId="40320EAA"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C</w:t>
            </w:r>
          </w:p>
        </w:tc>
        <w:tc>
          <w:tcPr>
            <w:tcW w:w="2553" w:type="dxa"/>
          </w:tcPr>
          <w:p w14:paraId="5B696387"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0.493</w:t>
            </w:r>
          </w:p>
        </w:tc>
      </w:tr>
      <w:tr w:rsidR="00C75912" w14:paraId="699BEEB8" w14:textId="77777777" w:rsidTr="000D728D">
        <w:tc>
          <w:tcPr>
            <w:tcW w:w="1722" w:type="dxa"/>
          </w:tcPr>
          <w:p w14:paraId="506DE9DC"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D</w:t>
            </w:r>
          </w:p>
        </w:tc>
        <w:tc>
          <w:tcPr>
            <w:tcW w:w="2553" w:type="dxa"/>
          </w:tcPr>
          <w:p w14:paraId="23B1732B"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1.076</w:t>
            </w:r>
          </w:p>
        </w:tc>
      </w:tr>
      <w:tr w:rsidR="00C75912" w14:paraId="6EB6572F" w14:textId="77777777" w:rsidTr="000D728D">
        <w:tc>
          <w:tcPr>
            <w:tcW w:w="1722" w:type="dxa"/>
          </w:tcPr>
          <w:p w14:paraId="1E21E83B"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E</w:t>
            </w:r>
          </w:p>
        </w:tc>
        <w:tc>
          <w:tcPr>
            <w:tcW w:w="2553" w:type="dxa"/>
          </w:tcPr>
          <w:p w14:paraId="15D6DBAE"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1.721</w:t>
            </w:r>
          </w:p>
        </w:tc>
      </w:tr>
      <w:tr w:rsidR="00C75912" w14:paraId="14BA6BD6" w14:textId="77777777" w:rsidTr="000D728D">
        <w:tc>
          <w:tcPr>
            <w:tcW w:w="1722" w:type="dxa"/>
          </w:tcPr>
          <w:p w14:paraId="643B9005"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F</w:t>
            </w:r>
          </w:p>
        </w:tc>
        <w:tc>
          <w:tcPr>
            <w:tcW w:w="2553" w:type="dxa"/>
          </w:tcPr>
          <w:p w14:paraId="5C110A06"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2.191</w:t>
            </w:r>
          </w:p>
        </w:tc>
      </w:tr>
    </w:tbl>
    <w:p w14:paraId="4EC7BA8C" w14:textId="3931A309" w:rsidR="00C75912" w:rsidRDefault="00C75912">
      <w:pPr>
        <w:tabs>
          <w:tab w:val="left" w:pos="360"/>
        </w:tabs>
        <w:ind w:firstLineChars="100" w:firstLine="200"/>
        <w:jc w:val="both"/>
      </w:pPr>
    </w:p>
    <w:p w14:paraId="183D04D9" w14:textId="77777777" w:rsidR="004C74FD" w:rsidRDefault="004C74FD">
      <w:pPr>
        <w:tabs>
          <w:tab w:val="left" w:pos="360"/>
        </w:tabs>
        <w:ind w:firstLineChars="100" w:firstLine="180"/>
        <w:jc w:val="both"/>
        <w:rPr>
          <w:rFonts w:ascii="Arial" w:hAnsi="Arial" w:cs="Arial"/>
          <w:bCs/>
          <w:sz w:val="18"/>
          <w:szCs w:val="18"/>
        </w:rPr>
      </w:pPr>
    </w:p>
    <w:p w14:paraId="5F4C637A" w14:textId="77777777" w:rsidR="00C75912" w:rsidRDefault="00C75912">
      <w:pPr>
        <w:tabs>
          <w:tab w:val="left" w:pos="360"/>
        </w:tabs>
        <w:jc w:val="both"/>
        <w:rPr>
          <w:rFonts w:ascii="Arial" w:hAnsi="Arial" w:cs="Arial"/>
          <w:bCs/>
          <w:sz w:val="18"/>
          <w:szCs w:val="18"/>
        </w:rPr>
      </w:pPr>
    </w:p>
    <w:p w14:paraId="10911843" w14:textId="474187CA" w:rsidR="00C75912" w:rsidRDefault="004C74FD">
      <w:pPr>
        <w:tabs>
          <w:tab w:val="left" w:pos="360"/>
        </w:tabs>
        <w:jc w:val="both"/>
        <w:rPr>
          <w:rFonts w:ascii="Arial" w:hAnsi="Arial" w:cs="Arial"/>
          <w:bCs/>
          <w:sz w:val="18"/>
          <w:szCs w:val="18"/>
        </w:rPr>
      </w:pPr>
      <w:r>
        <w:object w:dxaOrig="3053" w:dyaOrig="2149" w14:anchorId="40485B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248.05pt;height:174.7pt" o:ole="">
            <v:imagedata r:id="rId8" o:title=""/>
          </v:shape>
          <o:OLEObject Type="Embed" ProgID="CorelDraw.Graphic.23" ShapeID="_x0000_i1042" DrawAspect="Content" ObjectID="_1787472525" r:id="rId9"/>
        </w:object>
      </w:r>
    </w:p>
    <w:p w14:paraId="6F491DEA" w14:textId="77777777" w:rsidR="004C74FD" w:rsidRDefault="004C74FD">
      <w:pPr>
        <w:tabs>
          <w:tab w:val="left" w:pos="360"/>
        </w:tabs>
        <w:ind w:left="360"/>
        <w:jc w:val="both"/>
        <w:rPr>
          <w:rFonts w:ascii="Arial" w:hAnsi="Arial" w:cs="Arial"/>
          <w:bCs/>
          <w:sz w:val="18"/>
          <w:szCs w:val="18"/>
        </w:rPr>
      </w:pPr>
    </w:p>
    <w:p w14:paraId="295C8D1F" w14:textId="38033D08" w:rsidR="00C75912" w:rsidRDefault="00000000">
      <w:pPr>
        <w:tabs>
          <w:tab w:val="left" w:pos="360"/>
        </w:tabs>
        <w:ind w:left="360"/>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5E9E9C60" w14:textId="77777777" w:rsidR="00C75912" w:rsidRDefault="00C75912">
      <w:pPr>
        <w:tabs>
          <w:tab w:val="left" w:pos="360"/>
        </w:tabs>
        <w:ind w:left="360"/>
        <w:jc w:val="both"/>
        <w:rPr>
          <w:rFonts w:ascii="Arial" w:hAnsi="Arial" w:cs="Arial"/>
          <w:bCs/>
          <w:sz w:val="18"/>
          <w:szCs w:val="18"/>
        </w:rPr>
      </w:pPr>
    </w:p>
    <w:p w14:paraId="05E1FEF9"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Expected values and sensitivity</w:t>
      </w:r>
    </w:p>
    <w:p w14:paraId="49FF3FBE" w14:textId="77777777" w:rsidR="00C75912" w:rsidRDefault="00C75912">
      <w:pPr>
        <w:tabs>
          <w:tab w:val="left" w:pos="360"/>
        </w:tabs>
        <w:ind w:left="360"/>
        <w:jc w:val="both"/>
        <w:rPr>
          <w:rFonts w:ascii="Arial" w:hAnsi="Arial" w:cs="Arial"/>
          <w:bCs/>
          <w:sz w:val="18"/>
          <w:szCs w:val="18"/>
        </w:rPr>
      </w:pPr>
    </w:p>
    <w:tbl>
      <w:tblPr>
        <w:tblStyle w:val="TableGrid"/>
        <w:tblW w:w="3830" w:type="dxa"/>
        <w:tblInd w:w="360" w:type="dxa"/>
        <w:tblLook w:val="04A0" w:firstRow="1" w:lastRow="0" w:firstColumn="1" w:lastColumn="0" w:noHBand="0" w:noVBand="1"/>
      </w:tblPr>
      <w:tblGrid>
        <w:gridCol w:w="1915"/>
        <w:gridCol w:w="1915"/>
      </w:tblGrid>
      <w:tr w:rsidR="00C75912" w14:paraId="1D5EC9B2" w14:textId="77777777">
        <w:tc>
          <w:tcPr>
            <w:tcW w:w="1915" w:type="dxa"/>
          </w:tcPr>
          <w:p w14:paraId="603D3915" w14:textId="77777777" w:rsidR="00C75912" w:rsidRDefault="00000000">
            <w:pPr>
              <w:tabs>
                <w:tab w:val="left" w:pos="360"/>
              </w:tabs>
              <w:jc w:val="both"/>
              <w:rPr>
                <w:rFonts w:ascii="Arial" w:hAnsi="Arial" w:cs="Arial"/>
                <w:bCs/>
                <w:sz w:val="18"/>
                <w:szCs w:val="18"/>
              </w:rPr>
            </w:pPr>
            <w:r>
              <w:rPr>
                <w:rFonts w:ascii="Arial" w:hAnsi="Arial" w:cs="Arial"/>
                <w:bCs/>
                <w:sz w:val="18"/>
                <w:szCs w:val="18"/>
              </w:rPr>
              <w:t>Female Follicular</w:t>
            </w:r>
          </w:p>
        </w:tc>
        <w:tc>
          <w:tcPr>
            <w:tcW w:w="1915" w:type="dxa"/>
          </w:tcPr>
          <w:p w14:paraId="27C3CB66" w14:textId="77777777" w:rsidR="00C75912" w:rsidRDefault="00000000">
            <w:pPr>
              <w:tabs>
                <w:tab w:val="left" w:pos="360"/>
              </w:tabs>
              <w:ind w:firstLine="301"/>
              <w:jc w:val="both"/>
              <w:rPr>
                <w:rFonts w:ascii="Arial" w:hAnsi="Arial" w:cs="Arial"/>
                <w:bCs/>
                <w:sz w:val="18"/>
                <w:szCs w:val="18"/>
              </w:rPr>
            </w:pPr>
            <w:r>
              <w:rPr>
                <w:rFonts w:ascii="Arial" w:hAnsi="Arial" w:cs="Arial"/>
                <w:bCs/>
                <w:sz w:val="18"/>
                <w:szCs w:val="18"/>
              </w:rPr>
              <w:t xml:space="preserve"> 0~20 </w:t>
            </w:r>
            <w:proofErr w:type="spellStart"/>
            <w:r>
              <w:rPr>
                <w:rFonts w:ascii="Arial" w:hAnsi="Arial" w:cs="Arial"/>
                <w:bCs/>
                <w:sz w:val="18"/>
                <w:szCs w:val="18"/>
              </w:rPr>
              <w:t>mIU</w:t>
            </w:r>
            <w:proofErr w:type="spellEnd"/>
            <w:r>
              <w:rPr>
                <w:rFonts w:ascii="Arial" w:hAnsi="Arial" w:cs="Arial"/>
                <w:bCs/>
                <w:sz w:val="18"/>
                <w:szCs w:val="18"/>
              </w:rPr>
              <w:t>/ml</w:t>
            </w:r>
          </w:p>
        </w:tc>
      </w:tr>
      <w:tr w:rsidR="00C75912" w14:paraId="4BF85B94" w14:textId="77777777">
        <w:tc>
          <w:tcPr>
            <w:tcW w:w="1915" w:type="dxa"/>
          </w:tcPr>
          <w:p w14:paraId="586C69A2" w14:textId="77777777" w:rsidR="00C75912" w:rsidRDefault="00000000">
            <w:pPr>
              <w:tabs>
                <w:tab w:val="left" w:pos="360"/>
              </w:tabs>
              <w:jc w:val="both"/>
              <w:rPr>
                <w:rFonts w:ascii="Arial" w:hAnsi="Arial" w:cs="Arial"/>
                <w:bCs/>
                <w:sz w:val="18"/>
                <w:szCs w:val="18"/>
              </w:rPr>
            </w:pPr>
            <w:r>
              <w:rPr>
                <w:rFonts w:ascii="Arial" w:hAnsi="Arial" w:cs="Arial"/>
                <w:bCs/>
                <w:sz w:val="18"/>
                <w:szCs w:val="18"/>
              </w:rPr>
              <w:t>Mid-cycle</w:t>
            </w:r>
          </w:p>
        </w:tc>
        <w:tc>
          <w:tcPr>
            <w:tcW w:w="1915" w:type="dxa"/>
          </w:tcPr>
          <w:p w14:paraId="521D5FFD"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15~30mIU/ml</w:t>
            </w:r>
          </w:p>
        </w:tc>
      </w:tr>
      <w:tr w:rsidR="00C75912" w14:paraId="2E6BB5B8" w14:textId="77777777">
        <w:tc>
          <w:tcPr>
            <w:tcW w:w="1915" w:type="dxa"/>
          </w:tcPr>
          <w:p w14:paraId="11DE2179" w14:textId="77777777" w:rsidR="00C75912" w:rsidRDefault="00000000">
            <w:pPr>
              <w:tabs>
                <w:tab w:val="left" w:pos="360"/>
              </w:tabs>
              <w:jc w:val="both"/>
              <w:rPr>
                <w:rFonts w:ascii="Arial" w:hAnsi="Arial" w:cs="Arial"/>
                <w:bCs/>
                <w:sz w:val="18"/>
                <w:szCs w:val="18"/>
              </w:rPr>
            </w:pPr>
            <w:r>
              <w:rPr>
                <w:rFonts w:ascii="Arial" w:hAnsi="Arial" w:cs="Arial"/>
                <w:bCs/>
                <w:sz w:val="18"/>
                <w:szCs w:val="18"/>
              </w:rPr>
              <w:t>Luteal</w:t>
            </w:r>
          </w:p>
        </w:tc>
        <w:tc>
          <w:tcPr>
            <w:tcW w:w="1915" w:type="dxa"/>
          </w:tcPr>
          <w:p w14:paraId="11B6D73B"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 xml:space="preserve">0~20 </w:t>
            </w:r>
            <w:proofErr w:type="spellStart"/>
            <w:r>
              <w:rPr>
                <w:rFonts w:ascii="Arial" w:hAnsi="Arial" w:cs="Arial"/>
                <w:bCs/>
                <w:sz w:val="18"/>
                <w:szCs w:val="18"/>
              </w:rPr>
              <w:t>mIU</w:t>
            </w:r>
            <w:proofErr w:type="spellEnd"/>
            <w:r>
              <w:rPr>
                <w:rFonts w:ascii="Arial" w:hAnsi="Arial" w:cs="Arial"/>
                <w:bCs/>
                <w:sz w:val="18"/>
                <w:szCs w:val="18"/>
              </w:rPr>
              <w:t>/ml</w:t>
            </w:r>
          </w:p>
        </w:tc>
      </w:tr>
      <w:tr w:rsidR="00C75912" w14:paraId="3AD69BEF" w14:textId="77777777">
        <w:tc>
          <w:tcPr>
            <w:tcW w:w="1915" w:type="dxa"/>
          </w:tcPr>
          <w:p w14:paraId="75273207" w14:textId="77777777" w:rsidR="00C75912" w:rsidRDefault="00000000">
            <w:pPr>
              <w:tabs>
                <w:tab w:val="left" w:pos="360"/>
              </w:tabs>
              <w:jc w:val="both"/>
              <w:rPr>
                <w:rFonts w:ascii="Arial" w:hAnsi="Arial" w:cs="Arial"/>
                <w:bCs/>
                <w:sz w:val="18"/>
                <w:szCs w:val="18"/>
              </w:rPr>
            </w:pPr>
            <w:r>
              <w:rPr>
                <w:rFonts w:ascii="Arial" w:hAnsi="Arial" w:cs="Arial"/>
                <w:bCs/>
                <w:sz w:val="18"/>
                <w:szCs w:val="18"/>
              </w:rPr>
              <w:t>Post Menopausal</w:t>
            </w:r>
          </w:p>
        </w:tc>
        <w:tc>
          <w:tcPr>
            <w:tcW w:w="1915" w:type="dxa"/>
          </w:tcPr>
          <w:p w14:paraId="7BB71CBE" w14:textId="77777777" w:rsidR="00C75912" w:rsidRDefault="00000000">
            <w:pPr>
              <w:tabs>
                <w:tab w:val="left" w:pos="360"/>
              </w:tabs>
              <w:ind w:firstLine="301"/>
              <w:jc w:val="both"/>
              <w:rPr>
                <w:rFonts w:ascii="Arial" w:hAnsi="Arial" w:cs="Arial"/>
                <w:bCs/>
                <w:sz w:val="18"/>
                <w:szCs w:val="18"/>
              </w:rPr>
            </w:pPr>
            <w:r>
              <w:rPr>
                <w:rFonts w:ascii="Arial" w:hAnsi="Arial" w:cs="Arial"/>
                <w:bCs/>
                <w:sz w:val="18"/>
                <w:szCs w:val="18"/>
              </w:rPr>
              <w:t xml:space="preserve"> 40~200 </w:t>
            </w:r>
            <w:proofErr w:type="spellStart"/>
            <w:r>
              <w:rPr>
                <w:rFonts w:ascii="Arial" w:hAnsi="Arial" w:cs="Arial"/>
                <w:bCs/>
                <w:sz w:val="18"/>
                <w:szCs w:val="18"/>
              </w:rPr>
              <w:t>mIU</w:t>
            </w:r>
            <w:proofErr w:type="spellEnd"/>
            <w:r>
              <w:rPr>
                <w:rFonts w:ascii="Arial" w:hAnsi="Arial" w:cs="Arial"/>
                <w:bCs/>
                <w:sz w:val="18"/>
                <w:szCs w:val="18"/>
              </w:rPr>
              <w:t>/ml</w:t>
            </w:r>
          </w:p>
        </w:tc>
      </w:tr>
      <w:tr w:rsidR="00C75912" w14:paraId="6991567A" w14:textId="77777777">
        <w:tc>
          <w:tcPr>
            <w:tcW w:w="1915" w:type="dxa"/>
          </w:tcPr>
          <w:p w14:paraId="562903DA" w14:textId="77777777" w:rsidR="00C75912" w:rsidRDefault="00000000">
            <w:pPr>
              <w:tabs>
                <w:tab w:val="left" w:pos="360"/>
              </w:tabs>
              <w:jc w:val="both"/>
              <w:rPr>
                <w:rFonts w:ascii="Arial" w:hAnsi="Arial" w:cs="Arial"/>
                <w:bCs/>
                <w:sz w:val="18"/>
                <w:szCs w:val="18"/>
              </w:rPr>
            </w:pPr>
            <w:r>
              <w:rPr>
                <w:rFonts w:ascii="Arial" w:hAnsi="Arial" w:cs="Arial"/>
                <w:bCs/>
                <w:sz w:val="18"/>
                <w:szCs w:val="18"/>
              </w:rPr>
              <w:t>Male</w:t>
            </w:r>
          </w:p>
        </w:tc>
        <w:tc>
          <w:tcPr>
            <w:tcW w:w="1915" w:type="dxa"/>
          </w:tcPr>
          <w:p w14:paraId="7E85AED6"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0~20mIU/ml</w:t>
            </w:r>
          </w:p>
        </w:tc>
      </w:tr>
    </w:tbl>
    <w:p w14:paraId="07AF8793"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ab/>
      </w:r>
    </w:p>
    <w:p w14:paraId="73F0D28A"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 xml:space="preserve">The minimum detectable concentration of FSH by this assay is estimated to be 2.5 </w:t>
      </w:r>
      <w:proofErr w:type="spellStart"/>
      <w:r>
        <w:rPr>
          <w:rFonts w:ascii="Arial" w:hAnsi="Arial" w:cs="Arial"/>
          <w:bCs/>
          <w:sz w:val="18"/>
          <w:szCs w:val="18"/>
        </w:rPr>
        <w:t>mlU</w:t>
      </w:r>
      <w:proofErr w:type="spellEnd"/>
      <w:r>
        <w:rPr>
          <w:rFonts w:ascii="Arial" w:hAnsi="Arial" w:cs="Arial"/>
          <w:bCs/>
          <w:sz w:val="18"/>
          <w:szCs w:val="18"/>
        </w:rPr>
        <w:t>/ml.</w:t>
      </w:r>
    </w:p>
    <w:p w14:paraId="78C9E48D"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ab/>
      </w:r>
      <w:r>
        <w:rPr>
          <w:rFonts w:ascii="Arial" w:hAnsi="Arial" w:cs="Arial"/>
          <w:bCs/>
          <w:sz w:val="18"/>
          <w:szCs w:val="18"/>
        </w:rPr>
        <w:tab/>
        <w:t xml:space="preserve"> </w:t>
      </w:r>
      <w:r>
        <w:rPr>
          <w:rFonts w:ascii="Arial" w:hAnsi="Arial" w:cs="Arial"/>
          <w:bCs/>
          <w:sz w:val="18"/>
          <w:szCs w:val="18"/>
        </w:rPr>
        <w:tab/>
      </w:r>
    </w:p>
    <w:p w14:paraId="7451EF21"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PERFORMANCE CHARACTERISTICS</w:t>
      </w:r>
    </w:p>
    <w:p w14:paraId="064FB336"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A)</w:t>
      </w:r>
      <w:r>
        <w:rPr>
          <w:rFonts w:ascii="Arial" w:hAnsi="Arial" w:cs="Arial"/>
          <w:bCs/>
          <w:sz w:val="18"/>
          <w:szCs w:val="18"/>
        </w:rPr>
        <w:tab/>
        <w:t>Internal Evaluation:</w:t>
      </w:r>
    </w:p>
    <w:p w14:paraId="3A9AD996" w14:textId="77777777" w:rsidR="00C7591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Accuracy: In an internal study FSH was evaluated against commercially available licensed kit with 90 random clinical samples &amp; FSH has demonstrated &gt;98% clinical correlation with the commercially available licensed kit.</w:t>
      </w:r>
    </w:p>
    <w:p w14:paraId="619A2775" w14:textId="77777777" w:rsidR="00C75912" w:rsidRDefault="00000000">
      <w:pPr>
        <w:tabs>
          <w:tab w:val="left" w:pos="360"/>
        </w:tabs>
        <w:ind w:left="720"/>
        <w:jc w:val="both"/>
        <w:rPr>
          <w:rFonts w:ascii="Arial" w:hAnsi="Arial" w:cs="Arial"/>
          <w:bCs/>
          <w:sz w:val="18"/>
          <w:szCs w:val="18"/>
        </w:rPr>
      </w:pPr>
      <w:r>
        <w:rPr>
          <w:rFonts w:ascii="Arial" w:hAnsi="Arial" w:cs="Arial"/>
          <w:bCs/>
          <w:sz w:val="18"/>
          <w:szCs w:val="18"/>
        </w:rPr>
        <w:t xml:space="preserve">Precision: FSH was evaluated with </w:t>
      </w:r>
      <w:proofErr w:type="gramStart"/>
      <w:r>
        <w:rPr>
          <w:rFonts w:ascii="Arial" w:hAnsi="Arial" w:cs="Arial"/>
          <w:bCs/>
          <w:sz w:val="18"/>
          <w:szCs w:val="18"/>
        </w:rPr>
        <w:t>licensed  external</w:t>
      </w:r>
      <w:proofErr w:type="gramEnd"/>
      <w:r>
        <w:rPr>
          <w:rFonts w:ascii="Arial" w:hAnsi="Arial" w:cs="Arial"/>
          <w:bCs/>
          <w:sz w:val="18"/>
          <w:szCs w:val="18"/>
        </w:rPr>
        <w:t xml:space="preserve"> Quality controls for Precision Studies &amp; following is the data:</w:t>
      </w:r>
    </w:p>
    <w:p w14:paraId="71E896C8" w14:textId="77777777" w:rsidR="00C75912" w:rsidRDefault="00C75912">
      <w:pPr>
        <w:tabs>
          <w:tab w:val="left" w:pos="360"/>
        </w:tabs>
        <w:ind w:left="720"/>
        <w:jc w:val="both"/>
        <w:rPr>
          <w:rFonts w:ascii="Arial" w:hAnsi="Arial" w:cs="Arial"/>
          <w:bCs/>
          <w:sz w:val="18"/>
          <w:szCs w:val="18"/>
        </w:rPr>
      </w:pPr>
    </w:p>
    <w:p w14:paraId="24075D19" w14:textId="77777777" w:rsidR="00C75912" w:rsidRDefault="00C75912">
      <w:pPr>
        <w:tabs>
          <w:tab w:val="left" w:pos="360"/>
        </w:tabs>
        <w:ind w:left="720"/>
        <w:jc w:val="both"/>
        <w:rPr>
          <w:rFonts w:ascii="Arial" w:hAnsi="Arial" w:cs="Arial"/>
          <w:bCs/>
          <w:sz w:val="18"/>
          <w:szCs w:val="18"/>
        </w:rPr>
      </w:pPr>
    </w:p>
    <w:tbl>
      <w:tblPr>
        <w:tblStyle w:val="TableGrid"/>
        <w:tblW w:w="3953" w:type="dxa"/>
        <w:tblInd w:w="720" w:type="dxa"/>
        <w:tblLook w:val="04A0" w:firstRow="1" w:lastRow="0" w:firstColumn="1" w:lastColumn="0" w:noHBand="0" w:noVBand="1"/>
      </w:tblPr>
      <w:tblGrid>
        <w:gridCol w:w="887"/>
        <w:gridCol w:w="842"/>
        <w:gridCol w:w="797"/>
        <w:gridCol w:w="1427"/>
      </w:tblGrid>
      <w:tr w:rsidR="00C75912" w14:paraId="11FF9F27" w14:textId="77777777">
        <w:trPr>
          <w:trHeight w:val="571"/>
        </w:trPr>
        <w:tc>
          <w:tcPr>
            <w:tcW w:w="887" w:type="dxa"/>
          </w:tcPr>
          <w:p w14:paraId="498B5CD3" w14:textId="77777777" w:rsidR="00C75912" w:rsidRDefault="00000000">
            <w:pPr>
              <w:tabs>
                <w:tab w:val="left" w:pos="360"/>
              </w:tabs>
              <w:jc w:val="both"/>
              <w:rPr>
                <w:rFonts w:ascii="Arial" w:hAnsi="Arial" w:cs="Arial"/>
                <w:bCs/>
                <w:sz w:val="18"/>
                <w:szCs w:val="18"/>
              </w:rPr>
            </w:pPr>
            <w:r>
              <w:rPr>
                <w:rFonts w:ascii="Arial" w:hAnsi="Arial" w:cs="Arial"/>
                <w:bCs/>
                <w:sz w:val="18"/>
                <w:szCs w:val="18"/>
              </w:rPr>
              <w:t>Controls</w:t>
            </w:r>
          </w:p>
        </w:tc>
        <w:tc>
          <w:tcPr>
            <w:tcW w:w="842" w:type="dxa"/>
          </w:tcPr>
          <w:p w14:paraId="0274F534" w14:textId="77777777" w:rsidR="00C75912" w:rsidRDefault="00000000">
            <w:pPr>
              <w:tabs>
                <w:tab w:val="left" w:pos="360"/>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797" w:type="dxa"/>
          </w:tcPr>
          <w:p w14:paraId="5BEF8A9B" w14:textId="77777777" w:rsidR="00C75912" w:rsidRDefault="00000000">
            <w:pPr>
              <w:tabs>
                <w:tab w:val="left" w:pos="360"/>
              </w:tabs>
              <w:jc w:val="both"/>
              <w:rPr>
                <w:rFonts w:ascii="Arial" w:hAnsi="Arial" w:cs="Arial"/>
                <w:bCs/>
                <w:sz w:val="18"/>
                <w:szCs w:val="18"/>
              </w:rPr>
            </w:pPr>
            <w:r>
              <w:rPr>
                <w:rFonts w:ascii="Arial" w:hAnsi="Arial" w:cs="Arial"/>
                <w:bCs/>
                <w:sz w:val="18"/>
                <w:szCs w:val="18"/>
              </w:rPr>
              <w:t>Mean Control values with FSH</w:t>
            </w:r>
          </w:p>
        </w:tc>
        <w:tc>
          <w:tcPr>
            <w:tcW w:w="1427" w:type="dxa"/>
          </w:tcPr>
          <w:p w14:paraId="0FA5376D" w14:textId="630D9B2F" w:rsidR="00C75912" w:rsidRDefault="00000000" w:rsidP="004C74FD">
            <w:pPr>
              <w:tabs>
                <w:tab w:val="left" w:pos="360"/>
              </w:tabs>
              <w:ind w:left="360"/>
              <w:rPr>
                <w:rFonts w:ascii="Arial" w:hAnsi="Arial" w:cs="Arial"/>
                <w:bCs/>
                <w:sz w:val="18"/>
                <w:szCs w:val="18"/>
              </w:rPr>
            </w:pPr>
            <w:r>
              <w:rPr>
                <w:rFonts w:ascii="Arial" w:hAnsi="Arial" w:cs="Arial"/>
                <w:bCs/>
                <w:sz w:val="18"/>
                <w:szCs w:val="18"/>
              </w:rPr>
              <w:t>Coefficient of Variation (CV)</w:t>
            </w:r>
          </w:p>
          <w:p w14:paraId="504C1648" w14:textId="77777777" w:rsidR="00C75912" w:rsidRDefault="00C75912">
            <w:pPr>
              <w:tabs>
                <w:tab w:val="left" w:pos="360"/>
              </w:tabs>
              <w:jc w:val="center"/>
              <w:rPr>
                <w:rFonts w:ascii="Arial" w:hAnsi="Arial" w:cs="Arial"/>
                <w:bCs/>
                <w:sz w:val="18"/>
                <w:szCs w:val="18"/>
              </w:rPr>
            </w:pPr>
          </w:p>
        </w:tc>
      </w:tr>
      <w:tr w:rsidR="00C75912" w14:paraId="5D2043A2" w14:textId="77777777">
        <w:trPr>
          <w:trHeight w:val="185"/>
        </w:trPr>
        <w:tc>
          <w:tcPr>
            <w:tcW w:w="887" w:type="dxa"/>
          </w:tcPr>
          <w:p w14:paraId="16894A3A" w14:textId="77777777" w:rsidR="00C75912" w:rsidRDefault="00000000">
            <w:pPr>
              <w:tabs>
                <w:tab w:val="left" w:pos="360"/>
              </w:tabs>
              <w:jc w:val="both"/>
              <w:rPr>
                <w:rFonts w:ascii="Arial" w:hAnsi="Arial" w:cs="Arial"/>
                <w:bCs/>
                <w:sz w:val="18"/>
                <w:szCs w:val="18"/>
              </w:rPr>
            </w:pPr>
            <w:proofErr w:type="gramStart"/>
            <w:r>
              <w:rPr>
                <w:rFonts w:ascii="Arial" w:hAnsi="Arial" w:cs="Arial"/>
                <w:bCs/>
                <w:sz w:val="18"/>
                <w:szCs w:val="18"/>
              </w:rPr>
              <w:t>Level  1</w:t>
            </w:r>
            <w:proofErr w:type="gramEnd"/>
            <w:r>
              <w:rPr>
                <w:rFonts w:ascii="Arial" w:hAnsi="Arial" w:cs="Arial"/>
                <w:bCs/>
                <w:sz w:val="18"/>
                <w:szCs w:val="18"/>
              </w:rPr>
              <w:t xml:space="preserve"> </w:t>
            </w:r>
          </w:p>
        </w:tc>
        <w:tc>
          <w:tcPr>
            <w:tcW w:w="842" w:type="dxa"/>
          </w:tcPr>
          <w:p w14:paraId="2BF1493F" w14:textId="77777777" w:rsidR="00C75912" w:rsidRDefault="00000000">
            <w:pPr>
              <w:tabs>
                <w:tab w:val="left" w:pos="360"/>
              </w:tabs>
              <w:jc w:val="both"/>
              <w:rPr>
                <w:rFonts w:ascii="Arial" w:hAnsi="Arial" w:cs="Arial"/>
                <w:bCs/>
                <w:sz w:val="18"/>
                <w:szCs w:val="18"/>
              </w:rPr>
            </w:pPr>
            <w:r>
              <w:rPr>
                <w:rFonts w:ascii="Arial" w:hAnsi="Arial" w:cs="Arial"/>
                <w:bCs/>
                <w:sz w:val="18"/>
                <w:szCs w:val="18"/>
              </w:rPr>
              <w:t>10</w:t>
            </w:r>
          </w:p>
        </w:tc>
        <w:tc>
          <w:tcPr>
            <w:tcW w:w="797" w:type="dxa"/>
          </w:tcPr>
          <w:p w14:paraId="6293B5E0" w14:textId="77777777" w:rsidR="00C75912" w:rsidRDefault="00000000">
            <w:pPr>
              <w:tabs>
                <w:tab w:val="left" w:pos="360"/>
              </w:tabs>
              <w:jc w:val="both"/>
              <w:rPr>
                <w:rFonts w:ascii="Arial" w:hAnsi="Arial" w:cs="Arial"/>
                <w:bCs/>
                <w:sz w:val="18"/>
                <w:szCs w:val="18"/>
              </w:rPr>
            </w:pPr>
            <w:r>
              <w:rPr>
                <w:rFonts w:ascii="Arial" w:hAnsi="Arial" w:cs="Arial"/>
                <w:bCs/>
                <w:sz w:val="18"/>
                <w:szCs w:val="18"/>
              </w:rPr>
              <w:t>8.32</w:t>
            </w:r>
          </w:p>
        </w:tc>
        <w:tc>
          <w:tcPr>
            <w:tcW w:w="1427" w:type="dxa"/>
          </w:tcPr>
          <w:p w14:paraId="57B530DC"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4.87</w:t>
            </w:r>
          </w:p>
        </w:tc>
      </w:tr>
      <w:tr w:rsidR="00C75912" w14:paraId="0C0A9332" w14:textId="77777777">
        <w:trPr>
          <w:trHeight w:val="185"/>
        </w:trPr>
        <w:tc>
          <w:tcPr>
            <w:tcW w:w="887" w:type="dxa"/>
          </w:tcPr>
          <w:p w14:paraId="39CF8447" w14:textId="77777777" w:rsidR="00C75912" w:rsidRDefault="00000000">
            <w:pPr>
              <w:tabs>
                <w:tab w:val="left" w:pos="360"/>
              </w:tabs>
              <w:jc w:val="both"/>
              <w:rPr>
                <w:rFonts w:ascii="Arial" w:hAnsi="Arial" w:cs="Arial"/>
                <w:bCs/>
                <w:sz w:val="18"/>
                <w:szCs w:val="18"/>
              </w:rPr>
            </w:pPr>
            <w:proofErr w:type="gramStart"/>
            <w:r>
              <w:rPr>
                <w:rFonts w:ascii="Arial" w:hAnsi="Arial" w:cs="Arial"/>
                <w:bCs/>
                <w:sz w:val="18"/>
                <w:szCs w:val="18"/>
              </w:rPr>
              <w:t>Level  2</w:t>
            </w:r>
            <w:proofErr w:type="gramEnd"/>
          </w:p>
        </w:tc>
        <w:tc>
          <w:tcPr>
            <w:tcW w:w="842" w:type="dxa"/>
          </w:tcPr>
          <w:p w14:paraId="69127D3E" w14:textId="77777777" w:rsidR="00C75912" w:rsidRDefault="00000000">
            <w:pPr>
              <w:tabs>
                <w:tab w:val="left" w:pos="360"/>
              </w:tabs>
              <w:jc w:val="both"/>
              <w:rPr>
                <w:rFonts w:ascii="Arial" w:hAnsi="Arial" w:cs="Arial"/>
                <w:bCs/>
                <w:sz w:val="18"/>
                <w:szCs w:val="18"/>
              </w:rPr>
            </w:pPr>
            <w:r>
              <w:rPr>
                <w:rFonts w:ascii="Arial" w:hAnsi="Arial" w:cs="Arial"/>
                <w:bCs/>
                <w:sz w:val="18"/>
                <w:szCs w:val="18"/>
              </w:rPr>
              <w:t>10</w:t>
            </w:r>
          </w:p>
        </w:tc>
        <w:tc>
          <w:tcPr>
            <w:tcW w:w="797" w:type="dxa"/>
          </w:tcPr>
          <w:p w14:paraId="055BB17B" w14:textId="77777777" w:rsidR="00C75912" w:rsidRDefault="00000000">
            <w:pPr>
              <w:tabs>
                <w:tab w:val="left" w:pos="360"/>
              </w:tabs>
              <w:jc w:val="both"/>
              <w:rPr>
                <w:rFonts w:ascii="Arial" w:hAnsi="Arial" w:cs="Arial"/>
                <w:bCs/>
                <w:sz w:val="18"/>
                <w:szCs w:val="18"/>
              </w:rPr>
            </w:pPr>
            <w:r>
              <w:rPr>
                <w:rFonts w:ascii="Arial" w:hAnsi="Arial" w:cs="Arial"/>
                <w:bCs/>
                <w:sz w:val="18"/>
                <w:szCs w:val="18"/>
              </w:rPr>
              <w:t>20.22</w:t>
            </w:r>
          </w:p>
        </w:tc>
        <w:tc>
          <w:tcPr>
            <w:tcW w:w="1427" w:type="dxa"/>
          </w:tcPr>
          <w:p w14:paraId="29B47C20"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4.48</w:t>
            </w:r>
          </w:p>
        </w:tc>
      </w:tr>
      <w:tr w:rsidR="00C75912" w14:paraId="72160DF8" w14:textId="77777777">
        <w:trPr>
          <w:trHeight w:val="185"/>
        </w:trPr>
        <w:tc>
          <w:tcPr>
            <w:tcW w:w="887" w:type="dxa"/>
          </w:tcPr>
          <w:p w14:paraId="0CBDA827" w14:textId="77777777" w:rsidR="00C75912" w:rsidRDefault="00000000">
            <w:pPr>
              <w:tabs>
                <w:tab w:val="left" w:pos="360"/>
              </w:tabs>
              <w:jc w:val="both"/>
              <w:rPr>
                <w:rFonts w:ascii="Arial" w:hAnsi="Arial" w:cs="Arial"/>
                <w:bCs/>
                <w:sz w:val="18"/>
                <w:szCs w:val="18"/>
              </w:rPr>
            </w:pPr>
            <w:proofErr w:type="gramStart"/>
            <w:r>
              <w:rPr>
                <w:rFonts w:ascii="Arial" w:hAnsi="Arial" w:cs="Arial"/>
                <w:bCs/>
                <w:sz w:val="18"/>
                <w:szCs w:val="18"/>
              </w:rPr>
              <w:t>Level  3</w:t>
            </w:r>
            <w:proofErr w:type="gramEnd"/>
          </w:p>
        </w:tc>
        <w:tc>
          <w:tcPr>
            <w:tcW w:w="842" w:type="dxa"/>
          </w:tcPr>
          <w:p w14:paraId="62E8A27A" w14:textId="77777777" w:rsidR="00C75912" w:rsidRDefault="00000000">
            <w:pPr>
              <w:tabs>
                <w:tab w:val="left" w:pos="360"/>
              </w:tabs>
              <w:jc w:val="both"/>
              <w:rPr>
                <w:rFonts w:ascii="Arial" w:hAnsi="Arial" w:cs="Arial"/>
                <w:bCs/>
                <w:sz w:val="18"/>
                <w:szCs w:val="18"/>
              </w:rPr>
            </w:pPr>
            <w:r>
              <w:rPr>
                <w:rFonts w:ascii="Arial" w:hAnsi="Arial" w:cs="Arial"/>
                <w:bCs/>
                <w:sz w:val="18"/>
                <w:szCs w:val="18"/>
              </w:rPr>
              <w:t>10</w:t>
            </w:r>
          </w:p>
        </w:tc>
        <w:tc>
          <w:tcPr>
            <w:tcW w:w="797" w:type="dxa"/>
          </w:tcPr>
          <w:p w14:paraId="11AE1903" w14:textId="77777777" w:rsidR="00C75912" w:rsidRDefault="00000000">
            <w:pPr>
              <w:tabs>
                <w:tab w:val="left" w:pos="360"/>
              </w:tabs>
              <w:jc w:val="both"/>
              <w:rPr>
                <w:rFonts w:ascii="Arial" w:hAnsi="Arial" w:cs="Arial"/>
                <w:bCs/>
                <w:sz w:val="18"/>
                <w:szCs w:val="18"/>
              </w:rPr>
            </w:pPr>
            <w:r>
              <w:rPr>
                <w:rFonts w:ascii="Arial" w:hAnsi="Arial" w:cs="Arial"/>
                <w:bCs/>
                <w:sz w:val="18"/>
                <w:szCs w:val="18"/>
              </w:rPr>
              <w:t>45.96</w:t>
            </w:r>
          </w:p>
        </w:tc>
        <w:tc>
          <w:tcPr>
            <w:tcW w:w="1427" w:type="dxa"/>
          </w:tcPr>
          <w:p w14:paraId="5F0230C6" w14:textId="77777777" w:rsidR="00C75912" w:rsidRDefault="00000000">
            <w:pPr>
              <w:tabs>
                <w:tab w:val="left" w:pos="360"/>
              </w:tabs>
              <w:jc w:val="center"/>
              <w:rPr>
                <w:rFonts w:ascii="Arial" w:hAnsi="Arial" w:cs="Arial"/>
                <w:bCs/>
                <w:sz w:val="18"/>
                <w:szCs w:val="18"/>
              </w:rPr>
            </w:pPr>
            <w:r>
              <w:rPr>
                <w:rFonts w:ascii="Arial" w:hAnsi="Arial" w:cs="Arial"/>
                <w:bCs/>
                <w:sz w:val="18"/>
                <w:szCs w:val="18"/>
              </w:rPr>
              <w:t>5.42</w:t>
            </w:r>
          </w:p>
        </w:tc>
      </w:tr>
    </w:tbl>
    <w:p w14:paraId="5322CE77" w14:textId="77777777" w:rsidR="00C75912" w:rsidRDefault="00C75912">
      <w:pPr>
        <w:tabs>
          <w:tab w:val="left" w:pos="360"/>
        </w:tabs>
        <w:ind w:left="720"/>
        <w:jc w:val="both"/>
        <w:rPr>
          <w:rFonts w:ascii="Arial" w:hAnsi="Arial" w:cs="Arial"/>
          <w:bCs/>
          <w:sz w:val="18"/>
          <w:szCs w:val="18"/>
        </w:rPr>
      </w:pPr>
    </w:p>
    <w:p w14:paraId="7957904E" w14:textId="77777777" w:rsidR="00C75912" w:rsidRDefault="00C75912">
      <w:pPr>
        <w:tabs>
          <w:tab w:val="left" w:pos="360"/>
        </w:tabs>
        <w:ind w:left="360"/>
        <w:jc w:val="both"/>
        <w:rPr>
          <w:rFonts w:ascii="Arial" w:hAnsi="Arial" w:cs="Arial"/>
          <w:bCs/>
          <w:sz w:val="18"/>
          <w:szCs w:val="18"/>
        </w:rPr>
      </w:pPr>
    </w:p>
    <w:p w14:paraId="2F4801D0"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B)</w:t>
      </w:r>
      <w:r>
        <w:rPr>
          <w:rFonts w:ascii="Arial" w:hAnsi="Arial" w:cs="Arial"/>
          <w:bCs/>
          <w:sz w:val="18"/>
          <w:szCs w:val="18"/>
        </w:rPr>
        <w:tab/>
        <w:t>External Evaluation:</w:t>
      </w:r>
    </w:p>
    <w:p w14:paraId="787A5D9A" w14:textId="77777777" w:rsidR="00C75912" w:rsidRDefault="00000000">
      <w:pPr>
        <w:tabs>
          <w:tab w:val="left" w:pos="360"/>
        </w:tabs>
        <w:ind w:left="720"/>
        <w:jc w:val="both"/>
        <w:rPr>
          <w:rFonts w:ascii="Arial" w:hAnsi="Arial" w:cs="Arial"/>
          <w:bCs/>
          <w:sz w:val="18"/>
          <w:szCs w:val="18"/>
        </w:rPr>
      </w:pPr>
      <w:r>
        <w:rPr>
          <w:rFonts w:ascii="Arial" w:hAnsi="Arial" w:cs="Arial"/>
          <w:bCs/>
          <w:sz w:val="18"/>
          <w:szCs w:val="18"/>
        </w:rPr>
        <w:t>FSH ELISA has been evaluated by a NABL accredited lab against their reference method. In this evaluation FSH ELISA has demonstrated 97% correlation with the reference method.</w:t>
      </w:r>
    </w:p>
    <w:p w14:paraId="0965E35F"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ab/>
        <w:t>*Data file: Orchid Biomedical Systems (P) Ltd.</w:t>
      </w:r>
    </w:p>
    <w:p w14:paraId="24D061E5" w14:textId="77777777" w:rsidR="00C75912" w:rsidRDefault="00C75912">
      <w:pPr>
        <w:tabs>
          <w:tab w:val="left" w:pos="360"/>
        </w:tabs>
        <w:ind w:left="360"/>
        <w:jc w:val="both"/>
        <w:rPr>
          <w:rFonts w:ascii="Arial" w:hAnsi="Arial" w:cs="Arial"/>
          <w:bCs/>
          <w:sz w:val="18"/>
          <w:szCs w:val="18"/>
        </w:rPr>
      </w:pPr>
    </w:p>
    <w:p w14:paraId="69485260"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IMPORTANT NOTE</w:t>
      </w:r>
    </w:p>
    <w:p w14:paraId="168D11F5" w14:textId="77777777" w:rsidR="00C7591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The wash procedure is critical. Insufficient washing will result in poor precision and falsely elevated absorbance readings. </w:t>
      </w:r>
    </w:p>
    <w:p w14:paraId="3CF698C1" w14:textId="77777777" w:rsidR="00C7591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It is recommended to use the </w:t>
      </w:r>
      <w:proofErr w:type="spellStart"/>
      <w:proofErr w:type="gramStart"/>
      <w:r>
        <w:rPr>
          <w:rFonts w:ascii="Arial" w:hAnsi="Arial" w:cs="Arial"/>
          <w:bCs/>
          <w:sz w:val="18"/>
          <w:szCs w:val="18"/>
        </w:rPr>
        <w:t>multi channel</w:t>
      </w:r>
      <w:proofErr w:type="spellEnd"/>
      <w:proofErr w:type="gramEnd"/>
      <w:r>
        <w:rPr>
          <w:rFonts w:ascii="Arial" w:hAnsi="Arial" w:cs="Arial"/>
          <w:bCs/>
          <w:sz w:val="18"/>
          <w:szCs w:val="18"/>
        </w:rPr>
        <w:t xml:space="preserve"> pipettes to avoid time effect. A full plate of 96 wells may be used if automated pipetting is available.</w:t>
      </w:r>
    </w:p>
    <w:p w14:paraId="5B4EF928" w14:textId="77777777" w:rsidR="00C7591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Duplication of standards, Controls and samples is not mandatory but may provide information on reproducibility &amp; application errors. </w:t>
      </w:r>
    </w:p>
    <w:p w14:paraId="7FB95396" w14:textId="77777777" w:rsidR="00C75912" w:rsidRDefault="00C75912">
      <w:pPr>
        <w:tabs>
          <w:tab w:val="left" w:pos="360"/>
        </w:tabs>
        <w:ind w:left="360"/>
        <w:jc w:val="both"/>
        <w:rPr>
          <w:rFonts w:ascii="Arial" w:hAnsi="Arial" w:cs="Arial"/>
          <w:bCs/>
          <w:sz w:val="18"/>
          <w:szCs w:val="18"/>
        </w:rPr>
      </w:pPr>
    </w:p>
    <w:p w14:paraId="03C89C74" w14:textId="77777777" w:rsidR="00C75912" w:rsidRDefault="00000000">
      <w:pPr>
        <w:tabs>
          <w:tab w:val="left" w:pos="360"/>
        </w:tabs>
        <w:ind w:left="360"/>
        <w:jc w:val="both"/>
        <w:rPr>
          <w:rFonts w:ascii="Arial" w:hAnsi="Arial" w:cs="Arial"/>
          <w:bCs/>
          <w:sz w:val="18"/>
          <w:szCs w:val="18"/>
        </w:rPr>
      </w:pPr>
      <w:r>
        <w:rPr>
          <w:rFonts w:ascii="Arial" w:hAnsi="Arial" w:cs="Arial"/>
          <w:bCs/>
          <w:sz w:val="18"/>
          <w:szCs w:val="18"/>
        </w:rPr>
        <w:t>LIMITATIONS OF THE ASSAY</w:t>
      </w:r>
    </w:p>
    <w:p w14:paraId="4226C477" w14:textId="77777777" w:rsidR="00C75912" w:rsidRPr="005452F8" w:rsidRDefault="00000000" w:rsidP="005452F8">
      <w:pPr>
        <w:pStyle w:val="ListParagraph"/>
        <w:numPr>
          <w:ilvl w:val="0"/>
          <w:numId w:val="7"/>
        </w:numPr>
        <w:tabs>
          <w:tab w:val="left" w:pos="360"/>
        </w:tabs>
        <w:jc w:val="both"/>
        <w:rPr>
          <w:rFonts w:ascii="Arial" w:hAnsi="Arial" w:cs="Arial"/>
          <w:bCs/>
          <w:sz w:val="18"/>
          <w:szCs w:val="18"/>
        </w:rPr>
      </w:pPr>
      <w:r w:rsidRPr="005452F8">
        <w:rPr>
          <w:rFonts w:ascii="Arial" w:hAnsi="Arial" w:cs="Arial"/>
          <w:bCs/>
          <w:sz w:val="18"/>
          <w:szCs w:val="18"/>
        </w:rPr>
        <w:t xml:space="preserve">As with all diagnostic tests, a definite clinical diagnosis should not be based on the results of a single </w:t>
      </w:r>
      <w:proofErr w:type="gramStart"/>
      <w:r w:rsidRPr="005452F8">
        <w:rPr>
          <w:rFonts w:ascii="Arial" w:hAnsi="Arial" w:cs="Arial"/>
          <w:bCs/>
          <w:sz w:val="18"/>
          <w:szCs w:val="18"/>
        </w:rPr>
        <w:t>test, but</w:t>
      </w:r>
      <w:proofErr w:type="gramEnd"/>
      <w:r w:rsidRPr="005452F8">
        <w:rPr>
          <w:rFonts w:ascii="Arial" w:hAnsi="Arial" w:cs="Arial"/>
          <w:bCs/>
          <w:sz w:val="18"/>
          <w:szCs w:val="18"/>
        </w:rPr>
        <w:t xml:space="preserve"> should only be made by the physician after all clinical and laboratory findings have been evaluated. </w:t>
      </w:r>
    </w:p>
    <w:p w14:paraId="644BD727" w14:textId="77777777" w:rsidR="00C75912" w:rsidRPr="005452F8" w:rsidRDefault="00000000" w:rsidP="005452F8">
      <w:pPr>
        <w:pStyle w:val="ListParagraph"/>
        <w:numPr>
          <w:ilvl w:val="0"/>
          <w:numId w:val="7"/>
        </w:numPr>
        <w:tabs>
          <w:tab w:val="left" w:pos="360"/>
        </w:tabs>
        <w:jc w:val="both"/>
        <w:rPr>
          <w:rFonts w:ascii="Arial" w:hAnsi="Arial" w:cs="Arial"/>
          <w:bCs/>
          <w:sz w:val="18"/>
          <w:szCs w:val="18"/>
        </w:rPr>
      </w:pPr>
      <w:r w:rsidRPr="005452F8">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w:t>
      </w:r>
      <w:proofErr w:type="gramStart"/>
      <w:r w:rsidRPr="005452F8">
        <w:rPr>
          <w:rFonts w:ascii="Arial" w:hAnsi="Arial" w:cs="Arial"/>
          <w:bCs/>
          <w:sz w:val="18"/>
          <w:szCs w:val="18"/>
        </w:rPr>
        <w:t>compensated</w:t>
      </w:r>
      <w:proofErr w:type="gramEnd"/>
      <w:r w:rsidRPr="005452F8">
        <w:rPr>
          <w:rFonts w:ascii="Arial" w:hAnsi="Arial" w:cs="Arial"/>
          <w:bCs/>
          <w:sz w:val="18"/>
          <w:szCs w:val="18"/>
        </w:rPr>
        <w:t xml:space="preserve"> in the calculation of the result. </w:t>
      </w:r>
    </w:p>
    <w:p w14:paraId="4C89EFC6" w14:textId="77777777" w:rsidR="00C75912" w:rsidRPr="005452F8" w:rsidRDefault="00000000" w:rsidP="005452F8">
      <w:pPr>
        <w:pStyle w:val="ListParagraph"/>
        <w:numPr>
          <w:ilvl w:val="0"/>
          <w:numId w:val="7"/>
        </w:numPr>
        <w:jc w:val="both"/>
        <w:rPr>
          <w:rFonts w:ascii="Arial" w:hAnsi="Arial" w:cs="Arial"/>
          <w:bCs/>
          <w:sz w:val="18"/>
          <w:szCs w:val="18"/>
        </w:rPr>
      </w:pPr>
      <w:r w:rsidRPr="005452F8">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62C05B64" w14:textId="1CC1655B" w:rsidR="00C75912" w:rsidRPr="005452F8" w:rsidRDefault="00000000" w:rsidP="005452F8">
      <w:pPr>
        <w:pStyle w:val="ListParagraph"/>
        <w:numPr>
          <w:ilvl w:val="0"/>
          <w:numId w:val="7"/>
        </w:numPr>
        <w:tabs>
          <w:tab w:val="left" w:pos="360"/>
        </w:tabs>
        <w:jc w:val="both"/>
        <w:rPr>
          <w:rFonts w:ascii="Arial" w:hAnsi="Arial" w:cs="Arial"/>
          <w:bCs/>
          <w:sz w:val="18"/>
          <w:szCs w:val="18"/>
        </w:rPr>
      </w:pPr>
      <w:r w:rsidRPr="005452F8">
        <w:rPr>
          <w:rFonts w:ascii="Arial" w:hAnsi="Arial" w:cs="Arial"/>
          <w:bCs/>
          <w:sz w:val="18"/>
          <w:szCs w:val="18"/>
        </w:rPr>
        <w:t>Insufficient washing (e.g., less than 5 wash cycles, too small wash buffer volumes, or shortened reaction times) can lead to incorrect OD values.</w:t>
      </w:r>
    </w:p>
    <w:p w14:paraId="087EEAB7" w14:textId="77777777" w:rsidR="00C75912" w:rsidRDefault="00C75912">
      <w:pPr>
        <w:tabs>
          <w:tab w:val="left" w:pos="360"/>
        </w:tabs>
        <w:ind w:left="405"/>
        <w:jc w:val="both"/>
        <w:rPr>
          <w:rFonts w:ascii="Arial" w:hAnsi="Arial" w:cs="Arial"/>
          <w:bCs/>
          <w:sz w:val="18"/>
          <w:szCs w:val="18"/>
        </w:rPr>
      </w:pPr>
    </w:p>
    <w:p w14:paraId="07FF2ABA" w14:textId="77777777" w:rsidR="00C75912" w:rsidRDefault="00000000">
      <w:pPr>
        <w:tabs>
          <w:tab w:val="left" w:pos="360"/>
        </w:tabs>
        <w:ind w:left="142"/>
        <w:jc w:val="both"/>
        <w:rPr>
          <w:rFonts w:ascii="Arial" w:hAnsi="Arial" w:cs="Arial"/>
          <w:bCs/>
          <w:sz w:val="18"/>
          <w:szCs w:val="18"/>
        </w:rPr>
      </w:pPr>
      <w:r>
        <w:rPr>
          <w:rFonts w:ascii="Arial" w:hAnsi="Arial" w:cs="Arial"/>
          <w:bCs/>
          <w:sz w:val="18"/>
          <w:szCs w:val="18"/>
        </w:rPr>
        <w:t xml:space="preserve">BIBLIOGRAPHY </w:t>
      </w:r>
    </w:p>
    <w:p w14:paraId="6316D68B" w14:textId="77777777" w:rsidR="00C75912" w:rsidRDefault="00C75912">
      <w:pPr>
        <w:pStyle w:val="ListParagraph"/>
        <w:rPr>
          <w:rFonts w:ascii="Arial" w:hAnsi="Arial" w:cs="Arial"/>
          <w:bCs/>
          <w:sz w:val="18"/>
          <w:szCs w:val="18"/>
        </w:rPr>
      </w:pPr>
    </w:p>
    <w:p w14:paraId="7E317C71" w14:textId="77777777" w:rsidR="00C7591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Marshall J.C. Clinic in Endocrinol. </w:t>
      </w:r>
      <w:proofErr w:type="spellStart"/>
      <w:r>
        <w:rPr>
          <w:rFonts w:ascii="Arial" w:hAnsi="Arial" w:cs="Arial"/>
          <w:bCs/>
          <w:sz w:val="18"/>
          <w:szCs w:val="18"/>
        </w:rPr>
        <w:t>Metab</w:t>
      </w:r>
      <w:proofErr w:type="spellEnd"/>
      <w:r>
        <w:rPr>
          <w:rFonts w:ascii="Arial" w:hAnsi="Arial" w:cs="Arial"/>
          <w:bCs/>
          <w:sz w:val="18"/>
          <w:szCs w:val="18"/>
        </w:rPr>
        <w:t xml:space="preserve"> 1975; 4:545 </w:t>
      </w:r>
    </w:p>
    <w:p w14:paraId="4B7FF51C" w14:textId="77777777" w:rsidR="00C7591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Cohen K.L. Metabolism 1977; 26:1165 </w:t>
      </w:r>
    </w:p>
    <w:p w14:paraId="06EB08F8" w14:textId="77777777" w:rsidR="00C7591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Rebar </w:t>
      </w:r>
      <w:proofErr w:type="gramStart"/>
      <w:r>
        <w:rPr>
          <w:rFonts w:ascii="Arial" w:hAnsi="Arial" w:cs="Arial"/>
          <w:bCs/>
          <w:sz w:val="18"/>
          <w:szCs w:val="18"/>
        </w:rPr>
        <w:t>R.W. ,</w:t>
      </w:r>
      <w:proofErr w:type="gramEnd"/>
      <w:r>
        <w:rPr>
          <w:rFonts w:ascii="Arial" w:hAnsi="Arial" w:cs="Arial"/>
          <w:bCs/>
          <w:sz w:val="18"/>
          <w:szCs w:val="18"/>
        </w:rPr>
        <w:t xml:space="preserve"> Erickson G.F. and Yen S.S.C. Fertil. Steril.1982; 37: 35 </w:t>
      </w:r>
    </w:p>
    <w:p w14:paraId="01C3C4C0" w14:textId="77777777" w:rsidR="00C7591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Abraham </w:t>
      </w:r>
      <w:proofErr w:type="gramStart"/>
      <w:r>
        <w:rPr>
          <w:rFonts w:ascii="Arial" w:hAnsi="Arial" w:cs="Arial"/>
          <w:bCs/>
          <w:sz w:val="18"/>
          <w:szCs w:val="18"/>
        </w:rPr>
        <w:t>G.E..</w:t>
      </w:r>
      <w:proofErr w:type="gramEnd"/>
      <w:r>
        <w:rPr>
          <w:rFonts w:ascii="Arial" w:hAnsi="Arial" w:cs="Arial"/>
          <w:bCs/>
          <w:sz w:val="18"/>
          <w:szCs w:val="18"/>
        </w:rPr>
        <w:t xml:space="preserve"> Ed. </w:t>
      </w:r>
      <w:proofErr w:type="spellStart"/>
      <w:r>
        <w:rPr>
          <w:rFonts w:ascii="Arial" w:hAnsi="Arial" w:cs="Arial"/>
          <w:bCs/>
          <w:sz w:val="18"/>
          <w:szCs w:val="18"/>
        </w:rPr>
        <w:t>Radioassay</w:t>
      </w:r>
      <w:proofErr w:type="spellEnd"/>
      <w:r>
        <w:rPr>
          <w:rFonts w:ascii="Arial" w:hAnsi="Arial" w:cs="Arial"/>
          <w:bCs/>
          <w:sz w:val="18"/>
          <w:szCs w:val="18"/>
        </w:rPr>
        <w:t xml:space="preserve"> Systems in Clinic. Endocrinol. Marcel Dekker, Inc, New York (1981) </w:t>
      </w:r>
    </w:p>
    <w:p w14:paraId="4E5FA522" w14:textId="77777777" w:rsidR="00C7591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Uotila M., </w:t>
      </w:r>
      <w:proofErr w:type="spellStart"/>
      <w:r>
        <w:rPr>
          <w:rFonts w:ascii="Arial" w:hAnsi="Arial" w:cs="Arial"/>
          <w:bCs/>
          <w:sz w:val="18"/>
          <w:szCs w:val="18"/>
        </w:rPr>
        <w:t>Ruoslahti</w:t>
      </w:r>
      <w:proofErr w:type="spellEnd"/>
      <w:r>
        <w:rPr>
          <w:rFonts w:ascii="Arial" w:hAnsi="Arial" w:cs="Arial"/>
          <w:bCs/>
          <w:sz w:val="18"/>
          <w:szCs w:val="18"/>
        </w:rPr>
        <w:t xml:space="preserve"> E and Engvall </w:t>
      </w:r>
      <w:proofErr w:type="spellStart"/>
      <w:r>
        <w:rPr>
          <w:rFonts w:ascii="Arial" w:hAnsi="Arial" w:cs="Arial"/>
          <w:bCs/>
          <w:sz w:val="18"/>
          <w:szCs w:val="18"/>
        </w:rPr>
        <w:t>E.</w:t>
      </w:r>
      <w:proofErr w:type="gramStart"/>
      <w:r>
        <w:rPr>
          <w:rFonts w:ascii="Arial" w:hAnsi="Arial" w:cs="Arial"/>
          <w:bCs/>
          <w:sz w:val="18"/>
          <w:szCs w:val="18"/>
        </w:rPr>
        <w:t>J.Immunol</w:t>
      </w:r>
      <w:proofErr w:type="spellEnd"/>
      <w:proofErr w:type="gramEnd"/>
      <w:r>
        <w:rPr>
          <w:rFonts w:ascii="Arial" w:hAnsi="Arial" w:cs="Arial"/>
          <w:bCs/>
          <w:sz w:val="18"/>
          <w:szCs w:val="18"/>
        </w:rPr>
        <w:t xml:space="preserve">. Methods 1981; 42: 11. </w:t>
      </w:r>
    </w:p>
    <w:p w14:paraId="464EE9B6" w14:textId="77777777" w:rsidR="00C7591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Data on file: Orchid Biomedical Systems (P) Ltd.</w:t>
      </w:r>
    </w:p>
    <w:p w14:paraId="5C68CC39" w14:textId="77777777" w:rsidR="00C75912" w:rsidRDefault="00C75912">
      <w:pPr>
        <w:tabs>
          <w:tab w:val="left" w:pos="360"/>
        </w:tabs>
        <w:jc w:val="both"/>
      </w:pPr>
    </w:p>
    <w:p w14:paraId="3B6F9022" w14:textId="77777777" w:rsidR="00C75912" w:rsidRDefault="00C75912">
      <w:pPr>
        <w:tabs>
          <w:tab w:val="left" w:pos="360"/>
        </w:tabs>
        <w:jc w:val="center"/>
      </w:pPr>
    </w:p>
    <w:p w14:paraId="41F931A2" w14:textId="77777777" w:rsidR="00C75912" w:rsidRDefault="00C75912">
      <w:pPr>
        <w:tabs>
          <w:tab w:val="left" w:pos="360"/>
        </w:tabs>
        <w:jc w:val="center"/>
      </w:pPr>
    </w:p>
    <w:p w14:paraId="0FF1E00F" w14:textId="77777777" w:rsidR="00C75912" w:rsidRDefault="00C75912">
      <w:pPr>
        <w:tabs>
          <w:tab w:val="left" w:pos="360"/>
        </w:tabs>
        <w:jc w:val="center"/>
      </w:pPr>
    </w:p>
    <w:p w14:paraId="4D2D4882" w14:textId="77777777" w:rsidR="00C75912" w:rsidRDefault="00C75912">
      <w:pPr>
        <w:tabs>
          <w:tab w:val="left" w:pos="360"/>
        </w:tabs>
        <w:jc w:val="center"/>
      </w:pPr>
    </w:p>
    <w:p w14:paraId="5D4391BF" w14:textId="77777777" w:rsidR="00C75912" w:rsidRDefault="00000000">
      <w:pPr>
        <w:tabs>
          <w:tab w:val="left" w:pos="360"/>
        </w:tabs>
        <w:jc w:val="center"/>
      </w:pPr>
      <w:r>
        <w:object w:dxaOrig="3796" w:dyaOrig="3210" w14:anchorId="4843DE06">
          <v:shape id="_x0000_i1026" type="#_x0000_t75" style="width:189.8pt;height:160.5pt" o:ole="">
            <v:imagedata r:id="rId10" o:title=""/>
          </v:shape>
          <o:OLEObject Type="Embed" ProgID="CorelDraw.Graphic.23" ShapeID="_x0000_i1026" DrawAspect="Content" ObjectID="_1787472526" r:id="rId11"/>
        </w:object>
      </w:r>
    </w:p>
    <w:p w14:paraId="043B2328" w14:textId="77777777" w:rsidR="00C75912" w:rsidRDefault="00C75912">
      <w:pPr>
        <w:tabs>
          <w:tab w:val="left" w:pos="360"/>
        </w:tabs>
        <w:jc w:val="center"/>
      </w:pPr>
    </w:p>
    <w:p w14:paraId="6BC0760B" w14:textId="77777777" w:rsidR="00C75912" w:rsidRDefault="00C75912">
      <w:pPr>
        <w:tabs>
          <w:tab w:val="left" w:pos="360"/>
        </w:tabs>
        <w:jc w:val="center"/>
      </w:pPr>
    </w:p>
    <w:p w14:paraId="517D6CE5" w14:textId="77777777" w:rsidR="00C75912" w:rsidRDefault="00C75912">
      <w:pPr>
        <w:tabs>
          <w:tab w:val="left" w:pos="360"/>
        </w:tabs>
        <w:jc w:val="center"/>
      </w:pPr>
    </w:p>
    <w:p w14:paraId="53C7726B" w14:textId="77777777" w:rsidR="00C75912" w:rsidRDefault="00C75912">
      <w:pPr>
        <w:tabs>
          <w:tab w:val="left" w:pos="360"/>
        </w:tabs>
        <w:jc w:val="center"/>
      </w:pPr>
    </w:p>
    <w:p w14:paraId="61A7B055" w14:textId="77777777" w:rsidR="00C75912" w:rsidRDefault="00C75912">
      <w:pPr>
        <w:tabs>
          <w:tab w:val="left" w:pos="360"/>
        </w:tabs>
        <w:jc w:val="center"/>
      </w:pPr>
    </w:p>
    <w:p w14:paraId="792493FA" w14:textId="77777777" w:rsidR="00C75912" w:rsidRDefault="00C75912">
      <w:pPr>
        <w:tabs>
          <w:tab w:val="left" w:pos="360"/>
        </w:tabs>
        <w:jc w:val="center"/>
      </w:pPr>
    </w:p>
    <w:p w14:paraId="0B4DDBA1" w14:textId="77777777" w:rsidR="00C75912" w:rsidRDefault="00C75912">
      <w:pPr>
        <w:tabs>
          <w:tab w:val="left" w:pos="360"/>
        </w:tabs>
        <w:jc w:val="center"/>
      </w:pPr>
    </w:p>
    <w:p w14:paraId="44EF6211" w14:textId="77777777" w:rsidR="00C75912" w:rsidRDefault="00C75912">
      <w:pPr>
        <w:tabs>
          <w:tab w:val="left" w:pos="360"/>
        </w:tabs>
        <w:jc w:val="center"/>
      </w:pPr>
    </w:p>
    <w:p w14:paraId="2E91F0F5" w14:textId="77777777" w:rsidR="00C75912" w:rsidRDefault="00C75912">
      <w:pPr>
        <w:tabs>
          <w:tab w:val="left" w:pos="360"/>
        </w:tabs>
        <w:jc w:val="center"/>
      </w:pPr>
    </w:p>
    <w:p w14:paraId="2FD5A51F" w14:textId="77777777" w:rsidR="00C75912" w:rsidRDefault="00C75912">
      <w:pPr>
        <w:tabs>
          <w:tab w:val="left" w:pos="360"/>
        </w:tabs>
        <w:jc w:val="center"/>
      </w:pPr>
    </w:p>
    <w:p w14:paraId="322C5FFE" w14:textId="77777777" w:rsidR="00C75912" w:rsidRDefault="00C75912">
      <w:pPr>
        <w:tabs>
          <w:tab w:val="left" w:pos="360"/>
        </w:tabs>
        <w:jc w:val="center"/>
      </w:pPr>
    </w:p>
    <w:p w14:paraId="6B6B62EB" w14:textId="77777777" w:rsidR="00C75912" w:rsidRDefault="00C75912">
      <w:pPr>
        <w:tabs>
          <w:tab w:val="left" w:pos="360"/>
        </w:tabs>
        <w:jc w:val="center"/>
      </w:pPr>
    </w:p>
    <w:p w14:paraId="11BED4CC" w14:textId="77777777" w:rsidR="00C75912" w:rsidRDefault="00C75912">
      <w:pPr>
        <w:tabs>
          <w:tab w:val="left" w:pos="360"/>
        </w:tabs>
        <w:jc w:val="center"/>
      </w:pPr>
    </w:p>
    <w:p w14:paraId="60F660A9" w14:textId="77777777" w:rsidR="00C75912" w:rsidRDefault="00C75912">
      <w:pPr>
        <w:tabs>
          <w:tab w:val="left" w:pos="360"/>
        </w:tabs>
        <w:jc w:val="center"/>
      </w:pPr>
    </w:p>
    <w:p w14:paraId="66E72954" w14:textId="77777777" w:rsidR="00C75912" w:rsidRDefault="00C75912">
      <w:pPr>
        <w:tabs>
          <w:tab w:val="left" w:pos="360"/>
        </w:tabs>
        <w:jc w:val="center"/>
      </w:pPr>
    </w:p>
    <w:p w14:paraId="4D2977F9" w14:textId="77777777" w:rsidR="00C75912" w:rsidRDefault="00C75912">
      <w:pPr>
        <w:tabs>
          <w:tab w:val="left" w:pos="360"/>
        </w:tabs>
        <w:jc w:val="center"/>
      </w:pPr>
    </w:p>
    <w:p w14:paraId="4AEC59FB" w14:textId="77777777" w:rsidR="00C75912" w:rsidRDefault="00C75912">
      <w:pPr>
        <w:tabs>
          <w:tab w:val="left" w:pos="360"/>
        </w:tabs>
        <w:jc w:val="center"/>
      </w:pPr>
    </w:p>
    <w:p w14:paraId="6844D9CF" w14:textId="77777777" w:rsidR="00C75912" w:rsidRDefault="00C75912">
      <w:pPr>
        <w:tabs>
          <w:tab w:val="left" w:pos="360"/>
        </w:tabs>
        <w:jc w:val="center"/>
      </w:pPr>
    </w:p>
    <w:p w14:paraId="3464BC0E" w14:textId="77777777" w:rsidR="00C75912" w:rsidRDefault="00C75912">
      <w:pPr>
        <w:tabs>
          <w:tab w:val="left" w:pos="360"/>
        </w:tabs>
        <w:jc w:val="center"/>
      </w:pPr>
    </w:p>
    <w:p w14:paraId="178F4778" w14:textId="77777777" w:rsidR="00C75912" w:rsidRDefault="00C75912">
      <w:pPr>
        <w:tabs>
          <w:tab w:val="left" w:pos="360"/>
        </w:tabs>
        <w:jc w:val="center"/>
      </w:pPr>
    </w:p>
    <w:p w14:paraId="6EB58D06" w14:textId="77777777" w:rsidR="00C75912" w:rsidRDefault="00C75912">
      <w:pPr>
        <w:tabs>
          <w:tab w:val="left" w:pos="360"/>
        </w:tabs>
        <w:jc w:val="both"/>
      </w:pPr>
    </w:p>
    <w:p w14:paraId="45F0157E" w14:textId="77777777" w:rsidR="00C75912" w:rsidRDefault="00C75912">
      <w:pPr>
        <w:tabs>
          <w:tab w:val="left" w:pos="360"/>
        </w:tabs>
        <w:jc w:val="center"/>
      </w:pPr>
    </w:p>
    <w:p w14:paraId="2675556C" w14:textId="77777777" w:rsidR="00C75912" w:rsidRDefault="00C75912">
      <w:pPr>
        <w:tabs>
          <w:tab w:val="left" w:pos="360"/>
        </w:tabs>
        <w:jc w:val="center"/>
      </w:pPr>
    </w:p>
    <w:p w14:paraId="7E5AD11E" w14:textId="77777777" w:rsidR="00C75912" w:rsidRDefault="00000000">
      <w:pPr>
        <w:tabs>
          <w:tab w:val="left" w:pos="360"/>
        </w:tabs>
        <w:jc w:val="both"/>
        <w:rPr>
          <w:rFonts w:ascii="Arial" w:hAnsi="Arial" w:cs="Arial"/>
          <w:i/>
          <w:sz w:val="14"/>
          <w:szCs w:val="18"/>
        </w:rPr>
      </w:pPr>
      <w:r>
        <w:object w:dxaOrig="3842" w:dyaOrig="1110" w14:anchorId="6EA9693D">
          <v:shape id="_x0000_i1027" type="#_x0000_t75" style="width:192.1pt;height:55.5pt" o:ole="">
            <v:imagedata r:id="rId12" o:title=""/>
          </v:shape>
          <o:OLEObject Type="Embed" ProgID="CorelDraw.Graphic.23" ShapeID="_x0000_i1027" DrawAspect="Content" ObjectID="_1787472527" r:id="rId13"/>
        </w:object>
      </w:r>
    </w:p>
    <w:sectPr w:rsidR="00C75912">
      <w:headerReference w:type="even" r:id="rId14"/>
      <w:footerReference w:type="even" r:id="rId15"/>
      <w:footerReference w:type="default" r:id="rId16"/>
      <w:headerReference w:type="first" r:id="rId17"/>
      <w:footerReference w:type="first" r:id="rId18"/>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BA4E5A" w14:textId="77777777" w:rsidR="004A5CBB" w:rsidRDefault="004A5CBB">
      <w:r>
        <w:separator/>
      </w:r>
    </w:p>
  </w:endnote>
  <w:endnote w:type="continuationSeparator" w:id="0">
    <w:p w14:paraId="7DA0EF6B" w14:textId="77777777" w:rsidR="004A5CBB" w:rsidRDefault="004A5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2DA0E1" w14:textId="77777777" w:rsidR="00C75912" w:rsidRDefault="00C759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6A3BC6" w14:textId="77777777" w:rsidR="00C75912"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3A6344" w14:textId="77777777" w:rsidR="00C75912" w:rsidRDefault="00C75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0A4580" w14:textId="77777777" w:rsidR="004A5CBB" w:rsidRDefault="004A5CBB">
      <w:r>
        <w:separator/>
      </w:r>
    </w:p>
  </w:footnote>
  <w:footnote w:type="continuationSeparator" w:id="0">
    <w:p w14:paraId="45F4070A" w14:textId="77777777" w:rsidR="004A5CBB" w:rsidRDefault="004A5C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97C805" w14:textId="77777777" w:rsidR="00C75912" w:rsidRDefault="00C759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52A947" w14:textId="77777777" w:rsidR="00C75912" w:rsidRDefault="00C759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6EFD4F5"/>
    <w:multiLevelType w:val="multilevel"/>
    <w:tmpl w:val="96EFD4F5"/>
    <w:lvl w:ilvl="0">
      <w:start w:val="1"/>
      <w:numFmt w:val="bullet"/>
      <w:lvlText w:val=""/>
      <w:lvlJc w:val="left"/>
      <w:pPr>
        <w:ind w:left="598" w:hanging="277"/>
      </w:pPr>
      <w:rPr>
        <w:rFonts w:ascii="Symbol" w:hAnsi="Symbol" w:hint="default"/>
      </w:rPr>
    </w:lvl>
    <w:lvl w:ilvl="1">
      <w:start w:val="1"/>
      <w:numFmt w:val="bullet"/>
      <w:lvlText w:val="o"/>
      <w:lvlJc w:val="left"/>
      <w:pPr>
        <w:ind w:left="2211" w:hanging="360"/>
      </w:pPr>
      <w:rPr>
        <w:rFonts w:ascii="Courier New" w:hAnsi="Courier New" w:cs="Courier New" w:hint="default"/>
      </w:rPr>
    </w:lvl>
    <w:lvl w:ilvl="2">
      <w:start w:val="1"/>
      <w:numFmt w:val="bullet"/>
      <w:lvlText w:val=""/>
      <w:lvlJc w:val="left"/>
      <w:pPr>
        <w:ind w:left="2931" w:hanging="360"/>
      </w:pPr>
      <w:rPr>
        <w:rFonts w:ascii="Wingdings" w:hAnsi="Wingdings" w:hint="default"/>
      </w:rPr>
    </w:lvl>
    <w:lvl w:ilvl="3">
      <w:start w:val="1"/>
      <w:numFmt w:val="bullet"/>
      <w:lvlText w:val=""/>
      <w:lvlJc w:val="left"/>
      <w:pPr>
        <w:ind w:left="3651" w:hanging="360"/>
      </w:pPr>
      <w:rPr>
        <w:rFonts w:ascii="Symbol" w:hAnsi="Symbol" w:hint="default"/>
      </w:rPr>
    </w:lvl>
    <w:lvl w:ilvl="4">
      <w:start w:val="1"/>
      <w:numFmt w:val="bullet"/>
      <w:lvlText w:val="o"/>
      <w:lvlJc w:val="left"/>
      <w:pPr>
        <w:ind w:left="4371" w:hanging="360"/>
      </w:pPr>
      <w:rPr>
        <w:rFonts w:ascii="Courier New" w:hAnsi="Courier New" w:cs="Courier New" w:hint="default"/>
      </w:rPr>
    </w:lvl>
    <w:lvl w:ilvl="5">
      <w:start w:val="1"/>
      <w:numFmt w:val="bullet"/>
      <w:lvlText w:val=""/>
      <w:lvlJc w:val="left"/>
      <w:pPr>
        <w:ind w:left="5091" w:hanging="360"/>
      </w:pPr>
      <w:rPr>
        <w:rFonts w:ascii="Wingdings" w:hAnsi="Wingdings" w:hint="default"/>
      </w:rPr>
    </w:lvl>
    <w:lvl w:ilvl="6">
      <w:start w:val="1"/>
      <w:numFmt w:val="bullet"/>
      <w:lvlText w:val=""/>
      <w:lvlJc w:val="left"/>
      <w:pPr>
        <w:ind w:left="5811" w:hanging="360"/>
      </w:pPr>
      <w:rPr>
        <w:rFonts w:ascii="Symbol" w:hAnsi="Symbol" w:hint="default"/>
      </w:rPr>
    </w:lvl>
    <w:lvl w:ilvl="7">
      <w:start w:val="1"/>
      <w:numFmt w:val="bullet"/>
      <w:lvlText w:val="o"/>
      <w:lvlJc w:val="left"/>
      <w:pPr>
        <w:ind w:left="6531" w:hanging="360"/>
      </w:pPr>
      <w:rPr>
        <w:rFonts w:ascii="Courier New" w:hAnsi="Courier New" w:cs="Courier New" w:hint="default"/>
      </w:rPr>
    </w:lvl>
    <w:lvl w:ilvl="8">
      <w:start w:val="1"/>
      <w:numFmt w:val="bullet"/>
      <w:lvlText w:val=""/>
      <w:lvlJc w:val="left"/>
      <w:pPr>
        <w:ind w:left="7251" w:hanging="360"/>
      </w:pPr>
      <w:rPr>
        <w:rFonts w:ascii="Wingdings" w:hAnsi="Wingdings" w:hint="default"/>
      </w:rPr>
    </w:lvl>
  </w:abstractNum>
  <w:abstractNum w:abstractNumId="1" w15:restartNumberingAfterBreak="0">
    <w:nsid w:val="F9272364"/>
    <w:multiLevelType w:val="multilevel"/>
    <w:tmpl w:val="F9272364"/>
    <w:lvl w:ilvl="0">
      <w:start w:val="1"/>
      <w:numFmt w:val="decimal"/>
      <w:lvlText w:val="%1."/>
      <w:lvlJc w:val="left"/>
      <w:pPr>
        <w:ind w:left="828" w:hanging="423"/>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2" w15:restartNumberingAfterBreak="0">
    <w:nsid w:val="02B16F11"/>
    <w:multiLevelType w:val="multilevel"/>
    <w:tmpl w:val="02B16F1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697883"/>
    <w:multiLevelType w:val="multilevel"/>
    <w:tmpl w:val="12697883"/>
    <w:lvl w:ilvl="0">
      <w:start w:val="1"/>
      <w:numFmt w:val="decimal"/>
      <w:lvlText w:val="%1."/>
      <w:lvlJc w:val="lef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4" w15:restartNumberingAfterBreak="0">
    <w:nsid w:val="197108A1"/>
    <w:multiLevelType w:val="multilevel"/>
    <w:tmpl w:val="197108A1"/>
    <w:lvl w:ilvl="0">
      <w:start w:val="1"/>
      <w:numFmt w:val="bullet"/>
      <w:lvlText w:val=""/>
      <w:lvlJc w:val="left"/>
      <w:pPr>
        <w:ind w:left="700" w:hanging="300"/>
      </w:pPr>
      <w:rPr>
        <w:rFonts w:ascii="Symbol" w:hAnsi="Symbol" w:hint="default"/>
      </w:rPr>
    </w:lvl>
    <w:lvl w:ilvl="1">
      <w:start w:val="1"/>
      <w:numFmt w:val="bullet"/>
      <w:lvlText w:val="o"/>
      <w:lvlJc w:val="left"/>
      <w:pPr>
        <w:ind w:left="2211" w:hanging="360"/>
      </w:pPr>
      <w:rPr>
        <w:rFonts w:ascii="Courier New" w:hAnsi="Courier New" w:cs="Courier New" w:hint="default"/>
      </w:rPr>
    </w:lvl>
    <w:lvl w:ilvl="2">
      <w:start w:val="1"/>
      <w:numFmt w:val="bullet"/>
      <w:lvlText w:val=""/>
      <w:lvlJc w:val="left"/>
      <w:pPr>
        <w:ind w:left="2931" w:hanging="360"/>
      </w:pPr>
      <w:rPr>
        <w:rFonts w:ascii="Wingdings" w:hAnsi="Wingdings" w:hint="default"/>
      </w:rPr>
    </w:lvl>
    <w:lvl w:ilvl="3">
      <w:start w:val="1"/>
      <w:numFmt w:val="bullet"/>
      <w:lvlText w:val=""/>
      <w:lvlJc w:val="left"/>
      <w:pPr>
        <w:ind w:left="3651" w:hanging="360"/>
      </w:pPr>
      <w:rPr>
        <w:rFonts w:ascii="Symbol" w:hAnsi="Symbol" w:hint="default"/>
      </w:rPr>
    </w:lvl>
    <w:lvl w:ilvl="4">
      <w:start w:val="1"/>
      <w:numFmt w:val="bullet"/>
      <w:lvlText w:val="o"/>
      <w:lvlJc w:val="left"/>
      <w:pPr>
        <w:ind w:left="4371" w:hanging="360"/>
      </w:pPr>
      <w:rPr>
        <w:rFonts w:ascii="Courier New" w:hAnsi="Courier New" w:cs="Courier New" w:hint="default"/>
      </w:rPr>
    </w:lvl>
    <w:lvl w:ilvl="5">
      <w:start w:val="1"/>
      <w:numFmt w:val="bullet"/>
      <w:lvlText w:val=""/>
      <w:lvlJc w:val="left"/>
      <w:pPr>
        <w:ind w:left="5091" w:hanging="360"/>
      </w:pPr>
      <w:rPr>
        <w:rFonts w:ascii="Wingdings" w:hAnsi="Wingdings" w:hint="default"/>
      </w:rPr>
    </w:lvl>
    <w:lvl w:ilvl="6">
      <w:start w:val="1"/>
      <w:numFmt w:val="bullet"/>
      <w:lvlText w:val=""/>
      <w:lvlJc w:val="left"/>
      <w:pPr>
        <w:ind w:left="5811" w:hanging="360"/>
      </w:pPr>
      <w:rPr>
        <w:rFonts w:ascii="Symbol" w:hAnsi="Symbol" w:hint="default"/>
      </w:rPr>
    </w:lvl>
    <w:lvl w:ilvl="7">
      <w:start w:val="1"/>
      <w:numFmt w:val="bullet"/>
      <w:lvlText w:val="o"/>
      <w:lvlJc w:val="left"/>
      <w:pPr>
        <w:ind w:left="6531" w:hanging="360"/>
      </w:pPr>
      <w:rPr>
        <w:rFonts w:ascii="Courier New" w:hAnsi="Courier New" w:cs="Courier New" w:hint="default"/>
      </w:rPr>
    </w:lvl>
    <w:lvl w:ilvl="8">
      <w:start w:val="1"/>
      <w:numFmt w:val="bullet"/>
      <w:lvlText w:val=""/>
      <w:lvlJc w:val="left"/>
      <w:pPr>
        <w:ind w:left="7251" w:hanging="360"/>
      </w:pPr>
      <w:rPr>
        <w:rFonts w:ascii="Wingdings" w:hAnsi="Wingdings" w:hint="default"/>
      </w:rPr>
    </w:lvl>
  </w:abstractNum>
  <w:abstractNum w:abstractNumId="5" w15:restartNumberingAfterBreak="0">
    <w:nsid w:val="32CC0B7C"/>
    <w:multiLevelType w:val="multilevel"/>
    <w:tmpl w:val="32CC0B7C"/>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 w15:restartNumberingAfterBreak="0">
    <w:nsid w:val="70182B40"/>
    <w:multiLevelType w:val="hybridMultilevel"/>
    <w:tmpl w:val="D04A445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28465492">
    <w:abstractNumId w:val="5"/>
  </w:num>
  <w:num w:numId="2" w16cid:durableId="1801340665">
    <w:abstractNumId w:val="4"/>
  </w:num>
  <w:num w:numId="3" w16cid:durableId="191380204">
    <w:abstractNumId w:val="0"/>
  </w:num>
  <w:num w:numId="4" w16cid:durableId="1128622777">
    <w:abstractNumId w:val="2"/>
  </w:num>
  <w:num w:numId="5" w16cid:durableId="16271279">
    <w:abstractNumId w:val="1"/>
  </w:num>
  <w:num w:numId="6" w16cid:durableId="1464226250">
    <w:abstractNumId w:val="3"/>
  </w:num>
  <w:num w:numId="7" w16cid:durableId="7161987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65081"/>
    <w:rsid w:val="000B0CEA"/>
    <w:rsid w:val="000D728D"/>
    <w:rsid w:val="000E17FF"/>
    <w:rsid w:val="000F2C37"/>
    <w:rsid w:val="001214F1"/>
    <w:rsid w:val="00131B4D"/>
    <w:rsid w:val="00152295"/>
    <w:rsid w:val="00166AE2"/>
    <w:rsid w:val="00170243"/>
    <w:rsid w:val="00171DEA"/>
    <w:rsid w:val="001759E7"/>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67BE0"/>
    <w:rsid w:val="003C2AD4"/>
    <w:rsid w:val="003C6025"/>
    <w:rsid w:val="00415F51"/>
    <w:rsid w:val="004569D5"/>
    <w:rsid w:val="00475744"/>
    <w:rsid w:val="00490520"/>
    <w:rsid w:val="004A017D"/>
    <w:rsid w:val="004A5CBB"/>
    <w:rsid w:val="004A749E"/>
    <w:rsid w:val="004C74FD"/>
    <w:rsid w:val="004F00B7"/>
    <w:rsid w:val="0053059F"/>
    <w:rsid w:val="005452F8"/>
    <w:rsid w:val="00580FE2"/>
    <w:rsid w:val="005967F3"/>
    <w:rsid w:val="005B47DA"/>
    <w:rsid w:val="005C438D"/>
    <w:rsid w:val="005C4601"/>
    <w:rsid w:val="005C7851"/>
    <w:rsid w:val="005D14FD"/>
    <w:rsid w:val="00690FA0"/>
    <w:rsid w:val="00691164"/>
    <w:rsid w:val="00691AF2"/>
    <w:rsid w:val="0069319B"/>
    <w:rsid w:val="00693A7F"/>
    <w:rsid w:val="006B68A2"/>
    <w:rsid w:val="006C1D4D"/>
    <w:rsid w:val="006E51E2"/>
    <w:rsid w:val="006F1917"/>
    <w:rsid w:val="007417BA"/>
    <w:rsid w:val="00763725"/>
    <w:rsid w:val="007650B8"/>
    <w:rsid w:val="007709B4"/>
    <w:rsid w:val="007743C8"/>
    <w:rsid w:val="00780A13"/>
    <w:rsid w:val="007846E1"/>
    <w:rsid w:val="00791CE1"/>
    <w:rsid w:val="007F72D1"/>
    <w:rsid w:val="0080477D"/>
    <w:rsid w:val="008060B9"/>
    <w:rsid w:val="00807308"/>
    <w:rsid w:val="008131CD"/>
    <w:rsid w:val="0086479E"/>
    <w:rsid w:val="00880D76"/>
    <w:rsid w:val="008E507D"/>
    <w:rsid w:val="00922C13"/>
    <w:rsid w:val="009271F7"/>
    <w:rsid w:val="0093184E"/>
    <w:rsid w:val="009434BC"/>
    <w:rsid w:val="00991FA3"/>
    <w:rsid w:val="00993132"/>
    <w:rsid w:val="00994741"/>
    <w:rsid w:val="00997C8D"/>
    <w:rsid w:val="009A35AC"/>
    <w:rsid w:val="009C4F76"/>
    <w:rsid w:val="00A00D6C"/>
    <w:rsid w:val="00A064B6"/>
    <w:rsid w:val="00A175D1"/>
    <w:rsid w:val="00A339AD"/>
    <w:rsid w:val="00A74AA9"/>
    <w:rsid w:val="00A80735"/>
    <w:rsid w:val="00A84946"/>
    <w:rsid w:val="00AC16E8"/>
    <w:rsid w:val="00AE7ED6"/>
    <w:rsid w:val="00AF6A29"/>
    <w:rsid w:val="00B141ED"/>
    <w:rsid w:val="00BE3603"/>
    <w:rsid w:val="00BE38FB"/>
    <w:rsid w:val="00BE437E"/>
    <w:rsid w:val="00BF4EAE"/>
    <w:rsid w:val="00C37A29"/>
    <w:rsid w:val="00C41C2A"/>
    <w:rsid w:val="00C4489E"/>
    <w:rsid w:val="00C62BF6"/>
    <w:rsid w:val="00C64B48"/>
    <w:rsid w:val="00C75912"/>
    <w:rsid w:val="00C765E7"/>
    <w:rsid w:val="00C80C1E"/>
    <w:rsid w:val="00CA5160"/>
    <w:rsid w:val="00CA5B79"/>
    <w:rsid w:val="00CA674C"/>
    <w:rsid w:val="00CB7351"/>
    <w:rsid w:val="00CC1C17"/>
    <w:rsid w:val="00CC4CF9"/>
    <w:rsid w:val="00CE33A1"/>
    <w:rsid w:val="00CF4C14"/>
    <w:rsid w:val="00D72C8C"/>
    <w:rsid w:val="00D740F5"/>
    <w:rsid w:val="00D86CBB"/>
    <w:rsid w:val="00DA500C"/>
    <w:rsid w:val="00DB2FE4"/>
    <w:rsid w:val="00E05601"/>
    <w:rsid w:val="00E25627"/>
    <w:rsid w:val="00E2719F"/>
    <w:rsid w:val="00E5711D"/>
    <w:rsid w:val="00E67E07"/>
    <w:rsid w:val="00E73CF2"/>
    <w:rsid w:val="00E82464"/>
    <w:rsid w:val="00EA6728"/>
    <w:rsid w:val="00EB4AFD"/>
    <w:rsid w:val="00EB550C"/>
    <w:rsid w:val="00EE0E53"/>
    <w:rsid w:val="00F00A6A"/>
    <w:rsid w:val="00F012BA"/>
    <w:rsid w:val="00F109BB"/>
    <w:rsid w:val="00F15018"/>
    <w:rsid w:val="00F74F7B"/>
    <w:rsid w:val="00F818A7"/>
    <w:rsid w:val="00F92675"/>
    <w:rsid w:val="00FC3676"/>
    <w:rsid w:val="00FD3AA9"/>
    <w:rsid w:val="033D7729"/>
    <w:rsid w:val="1AA8204F"/>
    <w:rsid w:val="760D0927"/>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4476DE0"/>
  <w15:docId w15:val="{AB6D5EA0-37D3-41EF-A927-7DC08520F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1625</Words>
  <Characters>9267</Characters>
  <Application>Microsoft Office Word</Application>
  <DocSecurity>0</DocSecurity>
  <Lines>77</Lines>
  <Paragraphs>21</Paragraphs>
  <ScaleCrop>false</ScaleCrop>
  <Company>E&amp;E Labs, Inc.</Company>
  <LinksUpToDate>false</LinksUpToDate>
  <CharactersWithSpaces>10871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3</cp:revision>
  <cp:lastPrinted>2024-09-05T07:17:00Z</cp:lastPrinted>
  <dcterms:created xsi:type="dcterms:W3CDTF">2024-09-05T10:22:00Z</dcterms:created>
  <dcterms:modified xsi:type="dcterms:W3CDTF">2024-09-10T05:52:00Z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5532A29988CD4C5EA092CFB3EFFB2A6C_12</vt:lpwstr>
  </property>
</Properties>
</file>