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636074" w14:textId="77777777" w:rsidR="001B53A2"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06FA38B7" wp14:editId="344A8F85">
                <wp:simplePos x="0" y="0"/>
                <wp:positionH relativeFrom="column">
                  <wp:posOffset>95250</wp:posOffset>
                </wp:positionH>
                <wp:positionV relativeFrom="paragraph">
                  <wp:posOffset>3811</wp:posOffset>
                </wp:positionV>
                <wp:extent cx="2651760" cy="609600"/>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609600"/>
                        </a:xfrm>
                        <a:prstGeom prst="rect">
                          <a:avLst/>
                        </a:prstGeom>
                        <a:noFill/>
                        <a:ln>
                          <a:noFill/>
                        </a:ln>
                        <a:effectLst/>
                      </wps:spPr>
                      <wps:txbx>
                        <w:txbxContent>
                          <w:p w14:paraId="409310C9" w14:textId="77777777" w:rsidR="001B53A2" w:rsidRDefault="00000000">
                            <w:pPr>
                              <w:jc w:val="center"/>
                              <w:rPr>
                                <w:rFonts w:ascii="Bookman Old Style" w:hAnsi="Bookman Old Style"/>
                                <w:b/>
                                <w:sz w:val="24"/>
                                <w:lang w:val="en-GB"/>
                              </w:rPr>
                            </w:pPr>
                            <w:r>
                              <w:rPr>
                                <w:rFonts w:ascii="Bookman Old Style" w:hAnsi="Bookman Old Style"/>
                                <w:b/>
                                <w:sz w:val="24"/>
                              </w:rPr>
                              <w:t xml:space="preserve">Cytomegalovirus IgG (CMV IgG) ENZYME IMMUNOASSAY </w:t>
                            </w:r>
                            <w:r>
                              <w:rPr>
                                <w:rFonts w:ascii="Bookman Old Style" w:hAnsi="Bookman Old Style"/>
                                <w:b/>
                                <w:sz w:val="24"/>
                                <w:lang w:val="en-GB"/>
                              </w:rPr>
                              <w:t>TEST KIT</w:t>
                            </w:r>
                          </w:p>
                        </w:txbxContent>
                      </wps:txbx>
                      <wps:bodyPr rot="0" vert="horz" wrap="square" lIns="12700" tIns="12700" rIns="12700" bIns="12700" anchor="t" anchorCtr="0" upright="1">
                        <a:noAutofit/>
                      </wps:bodyPr>
                    </wps:wsp>
                  </a:graphicData>
                </a:graphic>
                <wp14:sizeRelV relativeFrom="margin">
                  <wp14:pctHeight>0</wp14:pctHeight>
                </wp14:sizeRelV>
              </wp:anchor>
            </w:drawing>
          </mc:Choice>
          <mc:Fallback>
            <w:pict>
              <v:rect w14:anchorId="06FA38B7" id="Rectangle 2" o:spid="_x0000_s1026" style="position:absolute;margin-left:7.5pt;margin-top:.3pt;width:208.8pt;height:4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" o:allowincell="f" filled="f" stroked="f">
                <v:textbox inset="1pt,1pt,1pt,1pt">
                  <w:txbxContent>
                    <w:p w14:paraId="409310C9" w14:textId="77777777" w:rsidR="001B53A2" w:rsidRDefault="00000000">
                      <w:pPr>
                        <w:jc w:val="center"/>
                        <w:rPr>
                          <w:rFonts w:ascii="Bookman Old Style" w:hAnsi="Bookman Old Style"/>
                          <w:b/>
                          <w:sz w:val="24"/>
                          <w:lang w:val="en-GB"/>
                        </w:rPr>
                      </w:pPr>
                      <w:r>
                        <w:rPr>
                          <w:rFonts w:ascii="Bookman Old Style" w:hAnsi="Bookman Old Style"/>
                          <w:b/>
                          <w:sz w:val="24"/>
                        </w:rPr>
                        <w:t xml:space="preserve">Cytomegalovirus IgG (CMV IgG) ENZYME IMMUNOASSAY </w:t>
                      </w:r>
                      <w:r>
                        <w:rPr>
                          <w:rFonts w:ascii="Bookman Old Style" w:hAnsi="Bookman Old Style"/>
                          <w:b/>
                          <w:sz w:val="24"/>
                          <w:lang w:val="en-GB"/>
                        </w:rPr>
                        <w:t>TEST KIT</w:t>
                      </w:r>
                    </w:p>
                  </w:txbxContent>
                </v:textbox>
              </v:rect>
            </w:pict>
          </mc:Fallback>
        </mc:AlternateContent>
      </w:r>
    </w:p>
    <w:p w14:paraId="4377F458" w14:textId="77777777" w:rsidR="001B53A2" w:rsidRDefault="001B53A2">
      <w:pPr>
        <w:rPr>
          <w:sz w:val="24"/>
        </w:rPr>
      </w:pPr>
    </w:p>
    <w:p w14:paraId="6BE5A244" w14:textId="77777777" w:rsidR="001B53A2" w:rsidRDefault="001B53A2">
      <w:pPr>
        <w:rPr>
          <w:sz w:val="24"/>
        </w:rPr>
      </w:pPr>
    </w:p>
    <w:p w14:paraId="638F03C9" w14:textId="77777777" w:rsidR="001B53A2" w:rsidRDefault="001B53A2">
      <w:pPr>
        <w:tabs>
          <w:tab w:val="left" w:pos="360"/>
        </w:tabs>
        <w:jc w:val="center"/>
        <w:rPr>
          <w:rFonts w:ascii="Arial" w:hAnsi="Arial" w:cs="Arial"/>
          <w:b/>
        </w:rPr>
      </w:pPr>
    </w:p>
    <w:p w14:paraId="5B28196A" w14:textId="77777777" w:rsidR="001B53A2" w:rsidRDefault="001B53A2">
      <w:pPr>
        <w:tabs>
          <w:tab w:val="left" w:pos="360"/>
        </w:tabs>
        <w:jc w:val="center"/>
        <w:rPr>
          <w:rFonts w:ascii="Arial" w:hAnsi="Arial" w:cs="Arial"/>
          <w:b/>
        </w:rPr>
      </w:pPr>
    </w:p>
    <w:p w14:paraId="2C63EEDF" w14:textId="77777777" w:rsidR="001B53A2" w:rsidRDefault="00000000">
      <w:pPr>
        <w:tabs>
          <w:tab w:val="left" w:pos="360"/>
        </w:tabs>
        <w:jc w:val="center"/>
        <w:rPr>
          <w:rFonts w:ascii="Arial" w:hAnsi="Arial" w:cs="Arial"/>
          <w:b/>
        </w:rPr>
      </w:pPr>
      <w:r>
        <w:rPr>
          <w:rFonts w:ascii="Arial" w:hAnsi="Arial" w:cs="Arial"/>
          <w:b/>
        </w:rPr>
        <w:t>Enzyme Linked Immunosorbent Assay (ELISA) for Quantitative Detection of Cytomegalovirus IgG antibody in Human Serum</w:t>
      </w:r>
    </w:p>
    <w:p w14:paraId="10CFAD84" w14:textId="77777777" w:rsidR="001B53A2" w:rsidRDefault="001B53A2">
      <w:pPr>
        <w:tabs>
          <w:tab w:val="left" w:pos="360"/>
        </w:tabs>
        <w:jc w:val="center"/>
        <w:rPr>
          <w:rFonts w:ascii="Arial" w:hAnsi="Arial" w:cs="Arial"/>
          <w:b/>
        </w:rPr>
      </w:pPr>
    </w:p>
    <w:p w14:paraId="0A4065E4" w14:textId="77777777" w:rsidR="001B53A2" w:rsidRDefault="00000000">
      <w:pPr>
        <w:tabs>
          <w:tab w:val="left" w:pos="360"/>
        </w:tabs>
        <w:jc w:val="center"/>
        <w:rPr>
          <w:rFonts w:ascii="Arial" w:hAnsi="Arial" w:cs="Arial"/>
          <w:b/>
        </w:rPr>
      </w:pPr>
      <w:r>
        <w:rPr>
          <w:rFonts w:ascii="Arial" w:hAnsi="Arial" w:cs="Arial"/>
          <w:b/>
        </w:rPr>
        <w:t>FOR IN VITRO DIAGNOSTIC USE ONLY</w:t>
      </w:r>
    </w:p>
    <w:p w14:paraId="6391937F" w14:textId="77777777" w:rsidR="001B53A2" w:rsidRDefault="00000000">
      <w:pPr>
        <w:tabs>
          <w:tab w:val="left" w:pos="360"/>
        </w:tabs>
        <w:jc w:val="center"/>
        <w:rPr>
          <w:rFonts w:ascii="Arial" w:hAnsi="Arial" w:cs="Arial"/>
          <w:b/>
        </w:rPr>
      </w:pPr>
      <w:r>
        <w:rPr>
          <w:rFonts w:ascii="Arial" w:hAnsi="Arial" w:cs="Arial"/>
          <w:b/>
        </w:rPr>
        <w:t>Store at 2°C to 8°C</w:t>
      </w:r>
    </w:p>
    <w:p w14:paraId="62D46DC4" w14:textId="77777777" w:rsidR="001B53A2" w:rsidRDefault="001B53A2">
      <w:pPr>
        <w:tabs>
          <w:tab w:val="left" w:pos="360"/>
        </w:tabs>
        <w:jc w:val="both"/>
        <w:rPr>
          <w:rFonts w:ascii="Arial" w:hAnsi="Arial" w:cs="Arial"/>
          <w:bCs/>
          <w:sz w:val="18"/>
          <w:szCs w:val="18"/>
        </w:rPr>
      </w:pPr>
    </w:p>
    <w:p w14:paraId="0A83D0FF" w14:textId="77777777" w:rsidR="001B53A2" w:rsidRDefault="001B53A2">
      <w:pPr>
        <w:tabs>
          <w:tab w:val="left" w:pos="360"/>
        </w:tabs>
        <w:jc w:val="both"/>
        <w:rPr>
          <w:rFonts w:ascii="Arial" w:hAnsi="Arial" w:cs="Arial"/>
          <w:bCs/>
          <w:sz w:val="18"/>
          <w:szCs w:val="18"/>
        </w:rPr>
      </w:pPr>
    </w:p>
    <w:p w14:paraId="7DF5837A" w14:textId="77777777" w:rsidR="001B53A2" w:rsidRDefault="00000000">
      <w:pPr>
        <w:tabs>
          <w:tab w:val="left" w:pos="360"/>
        </w:tabs>
        <w:jc w:val="both"/>
        <w:rPr>
          <w:rFonts w:ascii="Arial" w:hAnsi="Arial" w:cs="Arial"/>
          <w:bCs/>
          <w:sz w:val="18"/>
          <w:szCs w:val="18"/>
        </w:rPr>
      </w:pPr>
      <w:r>
        <w:rPr>
          <w:rFonts w:ascii="Arial" w:hAnsi="Arial" w:cs="Arial"/>
          <w:bCs/>
          <w:sz w:val="18"/>
          <w:szCs w:val="18"/>
        </w:rPr>
        <w:t>INTENDED USE</w:t>
      </w:r>
    </w:p>
    <w:p w14:paraId="4EC1CC0A" w14:textId="77777777" w:rsidR="001B53A2" w:rsidRDefault="00000000">
      <w:pPr>
        <w:tabs>
          <w:tab w:val="left" w:pos="360"/>
        </w:tabs>
        <w:jc w:val="both"/>
        <w:rPr>
          <w:rFonts w:ascii="Arial" w:hAnsi="Arial" w:cs="Arial"/>
          <w:bCs/>
          <w:sz w:val="18"/>
          <w:szCs w:val="18"/>
        </w:rPr>
      </w:pPr>
      <w:r>
        <w:rPr>
          <w:rFonts w:ascii="Arial" w:hAnsi="Arial" w:cs="Arial"/>
          <w:bCs/>
          <w:sz w:val="18"/>
          <w:szCs w:val="18"/>
        </w:rPr>
        <w:t>CMV IgG is intended for the Quantitative detection of IgG antibody to cytomegalovirus (CMV) infection in human serum. For in Vitro Diagnostic Use only.</w:t>
      </w:r>
    </w:p>
    <w:p w14:paraId="7BBD8B0C" w14:textId="77777777" w:rsidR="001B53A2" w:rsidRDefault="001B53A2">
      <w:pPr>
        <w:tabs>
          <w:tab w:val="left" w:pos="360"/>
        </w:tabs>
        <w:jc w:val="both"/>
        <w:rPr>
          <w:rFonts w:ascii="Arial" w:hAnsi="Arial" w:cs="Arial"/>
          <w:bCs/>
          <w:sz w:val="18"/>
          <w:szCs w:val="18"/>
        </w:rPr>
      </w:pPr>
    </w:p>
    <w:p w14:paraId="318C4F62" w14:textId="77777777" w:rsidR="001B53A2" w:rsidRDefault="00000000">
      <w:pPr>
        <w:tabs>
          <w:tab w:val="left" w:pos="360"/>
        </w:tabs>
        <w:jc w:val="both"/>
        <w:rPr>
          <w:rFonts w:ascii="Arial" w:hAnsi="Arial" w:cs="Arial"/>
          <w:bCs/>
          <w:sz w:val="18"/>
          <w:szCs w:val="18"/>
        </w:rPr>
      </w:pPr>
      <w:r>
        <w:rPr>
          <w:rFonts w:ascii="Arial" w:hAnsi="Arial" w:cs="Arial"/>
          <w:bCs/>
          <w:sz w:val="18"/>
          <w:szCs w:val="18"/>
        </w:rPr>
        <w:t>INTRODUCTION</w:t>
      </w:r>
    </w:p>
    <w:p w14:paraId="6ECE3E89"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Cytomegalovirus is a herpes virus and a leading biological factor causing congenital abnormalities and complications among those who receive massive blood transfusions and immunosuppressive therapy. About half of pregnant women who contract a primary infection spread the disease to their fetus. When acquired in-utero, the infection may cause mental retardation, blindness and/or deafness.  </w:t>
      </w:r>
    </w:p>
    <w:p w14:paraId="79420919" w14:textId="77777777" w:rsidR="001B53A2" w:rsidRDefault="00000000">
      <w:pPr>
        <w:tabs>
          <w:tab w:val="left" w:pos="360"/>
        </w:tabs>
        <w:jc w:val="both"/>
        <w:rPr>
          <w:rFonts w:ascii="Arial" w:hAnsi="Arial" w:cs="Arial"/>
          <w:bCs/>
          <w:sz w:val="18"/>
          <w:szCs w:val="18"/>
        </w:rPr>
      </w:pPr>
      <w:r>
        <w:rPr>
          <w:rFonts w:ascii="Arial" w:hAnsi="Arial" w:cs="Arial"/>
          <w:bCs/>
          <w:sz w:val="18"/>
          <w:szCs w:val="18"/>
        </w:rPr>
        <w:t>Serological tests for detecting the presence of antibody to CMV can provide valuable information regarding the history of previous infection, diagnosis of active or recent infection, as well as in screening blood for transfusions in newborns and immuno-compromised recipients. ELISA CMV IgG is an accurate serologic method to detect CMV antibody for identification of CMV infection.</w:t>
      </w:r>
    </w:p>
    <w:p w14:paraId="756403AF" w14:textId="77777777" w:rsidR="001B53A2" w:rsidRDefault="001B53A2">
      <w:pPr>
        <w:tabs>
          <w:tab w:val="left" w:pos="360"/>
        </w:tabs>
        <w:jc w:val="both"/>
        <w:rPr>
          <w:rFonts w:ascii="Arial" w:hAnsi="Arial" w:cs="Arial"/>
          <w:bCs/>
          <w:sz w:val="18"/>
          <w:szCs w:val="18"/>
        </w:rPr>
      </w:pPr>
    </w:p>
    <w:p w14:paraId="18EE374E" w14:textId="77777777" w:rsidR="001B53A2" w:rsidRDefault="00000000">
      <w:pPr>
        <w:tabs>
          <w:tab w:val="left" w:pos="360"/>
        </w:tabs>
        <w:jc w:val="both"/>
        <w:rPr>
          <w:rFonts w:ascii="Arial" w:hAnsi="Arial" w:cs="Arial"/>
          <w:bCs/>
          <w:sz w:val="18"/>
          <w:szCs w:val="18"/>
        </w:rPr>
      </w:pPr>
      <w:r>
        <w:rPr>
          <w:rFonts w:ascii="Arial" w:hAnsi="Arial" w:cs="Arial"/>
          <w:bCs/>
          <w:sz w:val="18"/>
          <w:szCs w:val="18"/>
        </w:rPr>
        <w:t>PRINCIPLE OF THE ASSAY</w:t>
      </w:r>
    </w:p>
    <w:p w14:paraId="05CC6004" w14:textId="77777777" w:rsidR="001B53A2" w:rsidRDefault="00000000" w:rsidP="00AE5B3B">
      <w:pPr>
        <w:tabs>
          <w:tab w:val="left" w:pos="426"/>
        </w:tabs>
        <w:jc w:val="both"/>
        <w:rPr>
          <w:rFonts w:ascii="Arial" w:hAnsi="Arial" w:cs="Arial"/>
          <w:bCs/>
          <w:sz w:val="18"/>
          <w:szCs w:val="18"/>
        </w:rPr>
      </w:pPr>
      <w:r>
        <w:rPr>
          <w:rFonts w:ascii="Arial" w:hAnsi="Arial" w:cs="Arial"/>
          <w:bCs/>
          <w:sz w:val="18"/>
          <w:szCs w:val="18"/>
        </w:rPr>
        <w:t xml:space="preserve">Purified CMV antigen is coated on the surface of microwells.  Diluted patient serum is added to wells, and the CMV IgG specific antibody, if present, binds to the antigen.  All unbound materials are washed away. A subsequent incubation with Anti-human IgG agglutinating sera conjugated with horseradish peroxidase binds to the antigen-antibody complex.  Excess enzyme conjugate is washed off and TMB substrate is added. The enzyme conjugate catalytic reaction is stopped at a specific time and absorbance is determined for each well at 450nm and 630nm with an ELISA reader. The intensity of the color </w:t>
      </w:r>
      <w:r>
        <w:rPr>
          <w:rFonts w:ascii="Arial" w:hAnsi="Arial" w:cs="Arial"/>
          <w:bCs/>
          <w:sz w:val="18"/>
          <w:szCs w:val="18"/>
        </w:rPr>
        <w:t>generated is proportional to the amount of IgG specific antibody in the sample.</w:t>
      </w:r>
    </w:p>
    <w:p w14:paraId="0C8C212B" w14:textId="77777777" w:rsidR="001B53A2" w:rsidRDefault="001B53A2">
      <w:pPr>
        <w:tabs>
          <w:tab w:val="left" w:pos="360"/>
        </w:tabs>
        <w:jc w:val="both"/>
        <w:rPr>
          <w:rFonts w:ascii="Arial" w:hAnsi="Arial" w:cs="Arial"/>
          <w:bCs/>
          <w:sz w:val="18"/>
          <w:szCs w:val="18"/>
        </w:rPr>
      </w:pPr>
    </w:p>
    <w:p w14:paraId="76E12C6F"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MATERIALS AND COMPONENTS</w:t>
      </w:r>
    </w:p>
    <w:p w14:paraId="377298E8"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Materials provided with the test kit:</w:t>
      </w:r>
    </w:p>
    <w:p w14:paraId="4260DC6A"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Coated Microwells: Purified CMV antigen coated wells.</w:t>
      </w:r>
    </w:p>
    <w:p w14:paraId="18F4AA13"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Sample Diluent. Ready to use.</w:t>
      </w:r>
    </w:p>
    <w:p w14:paraId="7D2D4D07"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 xml:space="preserve">3. </w:t>
      </w:r>
      <w:r>
        <w:rPr>
          <w:rFonts w:ascii="Arial" w:hAnsi="Arial" w:cs="Arial"/>
          <w:bCs/>
          <w:sz w:val="18"/>
          <w:szCs w:val="18"/>
        </w:rPr>
        <w:tab/>
        <w:t xml:space="preserve">Negative Calibrator: 0 IU/ml. </w:t>
      </w:r>
    </w:p>
    <w:p w14:paraId="4DF0F33D"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 xml:space="preserve">4. </w:t>
      </w:r>
      <w:r>
        <w:rPr>
          <w:rFonts w:ascii="Arial" w:hAnsi="Arial" w:cs="Arial"/>
          <w:bCs/>
          <w:sz w:val="18"/>
          <w:szCs w:val="18"/>
        </w:rPr>
        <w:tab/>
        <w:t xml:space="preserve">Positive Calibrator: 6 IU/ml. </w:t>
      </w:r>
    </w:p>
    <w:p w14:paraId="2FB04201"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 xml:space="preserve">5. </w:t>
      </w:r>
      <w:r>
        <w:rPr>
          <w:rFonts w:ascii="Arial" w:hAnsi="Arial" w:cs="Arial"/>
          <w:bCs/>
          <w:sz w:val="18"/>
          <w:szCs w:val="18"/>
        </w:rPr>
        <w:tab/>
        <w:t xml:space="preserve">Positive Calibrator: 18 IU/ml. </w:t>
      </w:r>
    </w:p>
    <w:p w14:paraId="17E0E7D9"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Negative Control: Range stated on the label.</w:t>
      </w:r>
    </w:p>
    <w:p w14:paraId="2A2B2E40"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Positive Control: Range stated on the label.</w:t>
      </w:r>
    </w:p>
    <w:p w14:paraId="559A0C7D"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Wash Buffer Concentrate (20X).</w:t>
      </w:r>
    </w:p>
    <w:p w14:paraId="11DDFCF1"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9.</w:t>
      </w:r>
      <w:r>
        <w:rPr>
          <w:rFonts w:ascii="Arial" w:hAnsi="Arial" w:cs="Arial"/>
          <w:bCs/>
          <w:sz w:val="18"/>
          <w:szCs w:val="18"/>
        </w:rPr>
        <w:tab/>
        <w:t>Enzyme Conjugate. Ready to use.</w:t>
      </w:r>
    </w:p>
    <w:p w14:paraId="0C3D61C0"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10. </w:t>
      </w:r>
      <w:r>
        <w:rPr>
          <w:rFonts w:ascii="Arial" w:hAnsi="Arial" w:cs="Arial"/>
          <w:bCs/>
          <w:sz w:val="18"/>
          <w:szCs w:val="18"/>
        </w:rPr>
        <w:tab/>
        <w:t>Cut-off Calibrator: 1.2 IU/ml. CMV G Index = 1.0</w:t>
      </w:r>
    </w:p>
    <w:p w14:paraId="29DBBF12"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 xml:space="preserve">11. </w:t>
      </w:r>
      <w:r>
        <w:rPr>
          <w:rFonts w:ascii="Arial" w:hAnsi="Arial" w:cs="Arial"/>
          <w:bCs/>
          <w:sz w:val="18"/>
          <w:szCs w:val="18"/>
        </w:rPr>
        <w:tab/>
        <w:t>TMB Substrate. Ready to use.</w:t>
      </w:r>
    </w:p>
    <w:p w14:paraId="6E3DD17B"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 xml:space="preserve">12. </w:t>
      </w:r>
      <w:r>
        <w:rPr>
          <w:rFonts w:ascii="Arial" w:hAnsi="Arial" w:cs="Arial"/>
          <w:bCs/>
          <w:sz w:val="18"/>
          <w:szCs w:val="18"/>
        </w:rPr>
        <w:tab/>
        <w:t>Stop Solution.</w:t>
      </w:r>
    </w:p>
    <w:p w14:paraId="549A4183"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13.</w:t>
      </w:r>
      <w:r>
        <w:rPr>
          <w:rFonts w:ascii="Arial" w:hAnsi="Arial" w:cs="Arial"/>
          <w:bCs/>
          <w:sz w:val="18"/>
          <w:szCs w:val="18"/>
        </w:rPr>
        <w:tab/>
        <w:t>Pack Insert</w:t>
      </w:r>
    </w:p>
    <w:p w14:paraId="3CD012BC"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14.</w:t>
      </w:r>
      <w:r>
        <w:rPr>
          <w:rFonts w:ascii="Arial" w:hAnsi="Arial" w:cs="Arial"/>
          <w:bCs/>
          <w:sz w:val="18"/>
          <w:szCs w:val="18"/>
        </w:rPr>
        <w:tab/>
        <w:t>Plate Sealer</w:t>
      </w:r>
    </w:p>
    <w:p w14:paraId="156B8F77"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15.</w:t>
      </w:r>
      <w:r>
        <w:rPr>
          <w:rFonts w:ascii="Arial" w:hAnsi="Arial" w:cs="Arial"/>
          <w:bCs/>
          <w:sz w:val="18"/>
          <w:szCs w:val="18"/>
        </w:rPr>
        <w:tab/>
        <w:t>Protocol Sheet</w:t>
      </w:r>
    </w:p>
    <w:p w14:paraId="5A6B818D"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16.</w:t>
      </w:r>
      <w:r>
        <w:rPr>
          <w:rFonts w:ascii="Arial" w:hAnsi="Arial" w:cs="Arial"/>
          <w:bCs/>
          <w:sz w:val="18"/>
          <w:szCs w:val="18"/>
        </w:rPr>
        <w:tab/>
        <w:t>Microwell Holder.</w:t>
      </w:r>
    </w:p>
    <w:p w14:paraId="6955D656" w14:textId="77777777" w:rsidR="001B53A2" w:rsidRDefault="001B53A2">
      <w:pPr>
        <w:tabs>
          <w:tab w:val="left" w:pos="360"/>
        </w:tabs>
        <w:ind w:left="360"/>
        <w:jc w:val="both"/>
        <w:rPr>
          <w:rFonts w:ascii="Arial" w:hAnsi="Arial" w:cs="Arial"/>
          <w:bCs/>
          <w:sz w:val="18"/>
          <w:szCs w:val="18"/>
        </w:rPr>
      </w:pPr>
    </w:p>
    <w:p w14:paraId="1D0C9276"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Materials required but not provided</w:t>
      </w:r>
    </w:p>
    <w:p w14:paraId="065B7DF4"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Precision pipettes: 10-100µl, 20-200µl, 100-1000µl</w:t>
      </w:r>
    </w:p>
    <w:p w14:paraId="7EFBBF3F"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Disposable pipette tips</w:t>
      </w:r>
    </w:p>
    <w:p w14:paraId="1AE4CA47"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Distilled water</w:t>
      </w:r>
    </w:p>
    <w:p w14:paraId="5630B8F8"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Disposable Gloves</w:t>
      </w:r>
    </w:p>
    <w:p w14:paraId="2634DE42"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ELISA reader</w:t>
      </w:r>
    </w:p>
    <w:p w14:paraId="553F4D7C"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ELISA washer</w:t>
      </w:r>
    </w:p>
    <w:p w14:paraId="788C8122"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Avidity Buffer</w:t>
      </w:r>
    </w:p>
    <w:p w14:paraId="4142F58E" w14:textId="77777777" w:rsidR="001B53A2" w:rsidRDefault="001B53A2">
      <w:pPr>
        <w:tabs>
          <w:tab w:val="left" w:pos="360"/>
        </w:tabs>
        <w:ind w:left="360"/>
        <w:jc w:val="both"/>
        <w:rPr>
          <w:rFonts w:ascii="Arial" w:hAnsi="Arial" w:cs="Arial"/>
          <w:bCs/>
          <w:sz w:val="18"/>
          <w:szCs w:val="18"/>
        </w:rPr>
      </w:pPr>
    </w:p>
    <w:p w14:paraId="40D31A55"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STORAGE AND STABILITY</w:t>
      </w:r>
    </w:p>
    <w:p w14:paraId="7DA60F3C"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CMV IgG kit is stable at 2-8°C up to expiry date printed on the label.</w:t>
      </w:r>
    </w:p>
    <w:p w14:paraId="66A36143"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desiccant has changed from blue to pink at the time of opening the pouch, another coated Microwells pouch should be used.</w:t>
      </w:r>
    </w:p>
    <w:p w14:paraId="24D739E8"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Diluted Wash Buffer is stable for up to one week when stored at 2-8°C.</w:t>
      </w:r>
    </w:p>
    <w:p w14:paraId="6FD548B4" w14:textId="77777777" w:rsidR="001B53A2" w:rsidRDefault="001B53A2">
      <w:pPr>
        <w:tabs>
          <w:tab w:val="left" w:pos="360"/>
        </w:tabs>
        <w:ind w:left="360"/>
        <w:jc w:val="both"/>
        <w:rPr>
          <w:rFonts w:ascii="Arial" w:hAnsi="Arial" w:cs="Arial"/>
          <w:bCs/>
          <w:sz w:val="18"/>
          <w:szCs w:val="18"/>
        </w:rPr>
      </w:pPr>
    </w:p>
    <w:p w14:paraId="64530FE8"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SPECIMEN COLLECTION &amp; PREPARATION</w:t>
      </w:r>
    </w:p>
    <w:p w14:paraId="6196347C"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Collect Blood specimen by venipuncture according to standard procedure.</w:t>
      </w:r>
    </w:p>
    <w:p w14:paraId="5A6866E4"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Serum only should be used.</w:t>
      </w:r>
    </w:p>
    <w:p w14:paraId="72401D9B"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Avoid grossly hemolytic, lipemic or turbid samples. </w:t>
      </w:r>
    </w:p>
    <w:p w14:paraId="20BCA8EA"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Preferably use fresh samples. </w:t>
      </w:r>
      <w:proofErr w:type="gramStart"/>
      <w:r>
        <w:rPr>
          <w:rFonts w:ascii="Arial" w:hAnsi="Arial" w:cs="Arial"/>
          <w:bCs/>
          <w:sz w:val="18"/>
          <w:szCs w:val="18"/>
        </w:rPr>
        <w:t>However</w:t>
      </w:r>
      <w:proofErr w:type="gramEnd"/>
      <w:r>
        <w:rPr>
          <w:rFonts w:ascii="Arial" w:hAnsi="Arial" w:cs="Arial"/>
          <w:bCs/>
          <w:sz w:val="18"/>
          <w:szCs w:val="18"/>
        </w:rPr>
        <w:t xml:space="preserve"> specimens can be stored up to 48 hours at 2-8°C. </w:t>
      </w:r>
    </w:p>
    <w:p w14:paraId="00A8D82D"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For longer storage, specimens can be frozen at -20°C. Thawed samples must be mixed prior to testing.</w:t>
      </w:r>
    </w:p>
    <w:p w14:paraId="6879EE8B"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Do not heat inactivate before use.</w:t>
      </w:r>
    </w:p>
    <w:p w14:paraId="28C12D2E"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Specimen containing precipitate or particulate matter should be clarified by centrifugation prior to use.</w:t>
      </w:r>
    </w:p>
    <w:p w14:paraId="15EF051F"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Specimen should be free from particulate matter and microbial contamination.</w:t>
      </w:r>
    </w:p>
    <w:p w14:paraId="0DA42DB6" w14:textId="77777777" w:rsidR="001B53A2" w:rsidRDefault="001B53A2">
      <w:pPr>
        <w:tabs>
          <w:tab w:val="left" w:pos="360"/>
        </w:tabs>
        <w:ind w:left="360"/>
        <w:jc w:val="both"/>
        <w:rPr>
          <w:rFonts w:ascii="Arial" w:hAnsi="Arial" w:cs="Arial"/>
          <w:bCs/>
          <w:sz w:val="18"/>
          <w:szCs w:val="18"/>
        </w:rPr>
      </w:pPr>
    </w:p>
    <w:p w14:paraId="6E7A627A"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PRECAUTIONS</w:t>
      </w:r>
    </w:p>
    <w:p w14:paraId="6820C779"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Bring all reagents and specimen to room temperature before use. </w:t>
      </w:r>
    </w:p>
    <w:p w14:paraId="4C914F30"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(2) </w:t>
      </w:r>
      <w:r>
        <w:rPr>
          <w:rFonts w:ascii="Arial" w:hAnsi="Arial" w:cs="Arial"/>
          <w:bCs/>
          <w:sz w:val="18"/>
          <w:szCs w:val="18"/>
        </w:rPr>
        <w:tab/>
        <w:t xml:space="preserve">Do not pipette any material by mouth. </w:t>
      </w:r>
    </w:p>
    <w:p w14:paraId="7D97C34B"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(3) </w:t>
      </w:r>
      <w:r>
        <w:rPr>
          <w:rFonts w:ascii="Arial" w:hAnsi="Arial" w:cs="Arial"/>
          <w:bCs/>
          <w:sz w:val="18"/>
          <w:szCs w:val="18"/>
        </w:rPr>
        <w:tab/>
        <w:t xml:space="preserve">Do not eat, drink or smoke in the area where testing is done. </w:t>
      </w:r>
    </w:p>
    <w:p w14:paraId="422C12CD"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(4) </w:t>
      </w:r>
      <w:r>
        <w:rPr>
          <w:rFonts w:ascii="Arial" w:hAnsi="Arial" w:cs="Arial"/>
          <w:bCs/>
          <w:sz w:val="18"/>
          <w:szCs w:val="18"/>
        </w:rPr>
        <w:tab/>
        <w:t xml:space="preserve">Use protective clothing and wear gloves when handling samples. </w:t>
      </w:r>
    </w:p>
    <w:p w14:paraId="2FDA145F"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(5) </w:t>
      </w:r>
      <w:r>
        <w:rPr>
          <w:rFonts w:ascii="Arial" w:hAnsi="Arial" w:cs="Arial"/>
          <w:bCs/>
          <w:sz w:val="18"/>
          <w:szCs w:val="18"/>
        </w:rPr>
        <w:tab/>
        <w:t xml:space="preserve">Use absorbent sheet to cover the working area. </w:t>
      </w:r>
    </w:p>
    <w:p w14:paraId="5C4C4871"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(6) </w:t>
      </w:r>
      <w:r>
        <w:rPr>
          <w:rFonts w:ascii="Arial" w:hAnsi="Arial" w:cs="Arial"/>
          <w:bCs/>
          <w:sz w:val="18"/>
          <w:szCs w:val="18"/>
        </w:rPr>
        <w:tab/>
        <w:t>Immediately clean up any spills with sodium hypochlorite.</w:t>
      </w:r>
    </w:p>
    <w:p w14:paraId="7583FF46"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(7) </w:t>
      </w:r>
      <w:r>
        <w:rPr>
          <w:rFonts w:ascii="Arial" w:hAnsi="Arial" w:cs="Arial"/>
          <w:bCs/>
          <w:sz w:val="18"/>
          <w:szCs w:val="18"/>
        </w:rPr>
        <w:tab/>
        <w:t xml:space="preserve">All specimens and controls should be considered potentially infectious and discarded appropriately. </w:t>
      </w:r>
    </w:p>
    <w:p w14:paraId="63E513AB"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(8) </w:t>
      </w:r>
      <w:r>
        <w:rPr>
          <w:rFonts w:ascii="Arial" w:hAnsi="Arial" w:cs="Arial"/>
          <w:bCs/>
          <w:sz w:val="18"/>
          <w:szCs w:val="18"/>
        </w:rPr>
        <w:tab/>
        <w:t xml:space="preserve">Neutralize acid containing waste before adding hypochlorite. </w:t>
      </w:r>
    </w:p>
    <w:p w14:paraId="66306F0B"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(9) </w:t>
      </w:r>
      <w:r>
        <w:rPr>
          <w:rFonts w:ascii="Arial" w:hAnsi="Arial" w:cs="Arial"/>
          <w:bCs/>
          <w:sz w:val="18"/>
          <w:szCs w:val="18"/>
        </w:rPr>
        <w:tab/>
        <w:t xml:space="preserve">Do not use </w:t>
      </w:r>
      <w:proofErr w:type="gramStart"/>
      <w:r>
        <w:rPr>
          <w:rFonts w:ascii="Arial" w:hAnsi="Arial" w:cs="Arial"/>
          <w:bCs/>
          <w:sz w:val="18"/>
          <w:szCs w:val="18"/>
        </w:rPr>
        <w:t>kit</w:t>
      </w:r>
      <w:proofErr w:type="gramEnd"/>
      <w:r>
        <w:rPr>
          <w:rFonts w:ascii="Arial" w:hAnsi="Arial" w:cs="Arial"/>
          <w:bCs/>
          <w:sz w:val="18"/>
          <w:szCs w:val="18"/>
        </w:rPr>
        <w:t xml:space="preserve"> after the expiry date. </w:t>
      </w:r>
    </w:p>
    <w:p w14:paraId="6B20F6B9"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(10) Do not mix components of one kit with another.</w:t>
      </w:r>
    </w:p>
    <w:p w14:paraId="6AA60F77" w14:textId="77777777" w:rsidR="001B53A2" w:rsidRDefault="00000000">
      <w:pPr>
        <w:tabs>
          <w:tab w:val="left" w:pos="851"/>
        </w:tabs>
        <w:ind w:left="720" w:hanging="360"/>
        <w:jc w:val="both"/>
        <w:rPr>
          <w:rFonts w:ascii="Arial" w:hAnsi="Arial" w:cs="Arial"/>
          <w:bCs/>
          <w:sz w:val="18"/>
          <w:szCs w:val="18"/>
        </w:rPr>
      </w:pPr>
      <w:r>
        <w:rPr>
          <w:rFonts w:ascii="Arial" w:hAnsi="Arial" w:cs="Arial"/>
          <w:bCs/>
          <w:sz w:val="18"/>
          <w:szCs w:val="18"/>
        </w:rPr>
        <w:t xml:space="preserve">(11) Always use new tip for each specimen and reagent. </w:t>
      </w:r>
    </w:p>
    <w:p w14:paraId="7FAC3699" w14:textId="77777777" w:rsidR="001B53A2" w:rsidRDefault="00000000">
      <w:pPr>
        <w:tabs>
          <w:tab w:val="left" w:pos="851"/>
        </w:tabs>
        <w:ind w:left="720" w:hanging="436"/>
        <w:jc w:val="both"/>
        <w:rPr>
          <w:rFonts w:ascii="Arial" w:hAnsi="Arial" w:cs="Arial"/>
          <w:bCs/>
          <w:sz w:val="18"/>
          <w:szCs w:val="18"/>
        </w:rPr>
      </w:pPr>
      <w:r>
        <w:rPr>
          <w:rFonts w:ascii="Arial" w:hAnsi="Arial" w:cs="Arial"/>
          <w:bCs/>
          <w:sz w:val="18"/>
          <w:szCs w:val="18"/>
        </w:rPr>
        <w:t xml:space="preserve">  (12) Do not allow liquid from one well to mix with other wells. </w:t>
      </w:r>
    </w:p>
    <w:p w14:paraId="0CB77AC7"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(13) Do not let the strips dry in between the steps.</w:t>
      </w:r>
    </w:p>
    <w:p w14:paraId="75EDED0C" w14:textId="77777777" w:rsidR="001B53A2" w:rsidRDefault="001B53A2">
      <w:pPr>
        <w:tabs>
          <w:tab w:val="left" w:pos="360"/>
        </w:tabs>
        <w:ind w:left="360"/>
        <w:jc w:val="both"/>
        <w:rPr>
          <w:rFonts w:ascii="Arial" w:hAnsi="Arial" w:cs="Arial"/>
          <w:bCs/>
          <w:sz w:val="18"/>
          <w:szCs w:val="18"/>
        </w:rPr>
      </w:pPr>
    </w:p>
    <w:p w14:paraId="43ABCD83"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REAGENT PREPARATION</w:t>
      </w:r>
    </w:p>
    <w:p w14:paraId="30F7E0A6"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All reagents should be brought to room temperature (18-25°C) and mixed by gently inverting or swirling prior to use. Do not induce foaming.</w:t>
      </w:r>
    </w:p>
    <w:p w14:paraId="307213C7"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lastRenderedPageBreak/>
        <w:t xml:space="preserve">2. </w:t>
      </w:r>
      <w:r>
        <w:rPr>
          <w:rFonts w:ascii="Arial" w:hAnsi="Arial" w:cs="Arial"/>
          <w:bCs/>
          <w:sz w:val="18"/>
          <w:szCs w:val="18"/>
        </w:rPr>
        <w:tab/>
        <w:t>Dilute wash buffer 20 times (for example add 5ml concentrated buffer to 95ml of distilled or deionized water).</w:t>
      </w:r>
    </w:p>
    <w:p w14:paraId="236D7A1C" w14:textId="77777777" w:rsidR="001B53A2" w:rsidRDefault="001B53A2">
      <w:pPr>
        <w:tabs>
          <w:tab w:val="left" w:pos="360"/>
        </w:tabs>
        <w:ind w:left="720" w:hanging="360"/>
        <w:jc w:val="both"/>
        <w:rPr>
          <w:rFonts w:ascii="Arial" w:hAnsi="Arial" w:cs="Arial"/>
          <w:bCs/>
          <w:sz w:val="18"/>
          <w:szCs w:val="18"/>
        </w:rPr>
      </w:pPr>
    </w:p>
    <w:p w14:paraId="39F23C38" w14:textId="77777777" w:rsidR="001B53A2" w:rsidRDefault="00000000">
      <w:pPr>
        <w:tabs>
          <w:tab w:val="left" w:pos="360"/>
        </w:tabs>
        <w:ind w:left="360"/>
        <w:jc w:val="both"/>
        <w:rPr>
          <w:rFonts w:ascii="Arial" w:hAnsi="Arial" w:cs="Arial"/>
          <w:bCs/>
          <w:sz w:val="18"/>
          <w:szCs w:val="18"/>
        </w:rPr>
      </w:pPr>
      <w:r>
        <w:rPr>
          <w:rFonts w:ascii="Arial" w:hAnsi="Arial" w:cs="Arial"/>
          <w:bCs/>
          <w:sz w:val="18"/>
          <w:szCs w:val="18"/>
        </w:rPr>
        <w:t>TEST PROCEDURE</w:t>
      </w:r>
    </w:p>
    <w:p w14:paraId="1CFD0517"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Place the desired number of coated strips into the holder.</w:t>
      </w:r>
    </w:p>
    <w:p w14:paraId="31B9078B"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Prepare 1:40 dilutions by adding 5µl of the test samples, negative control, positive control and calibrators to 200µl of sample diluent. Mix well.</w:t>
      </w:r>
    </w:p>
    <w:p w14:paraId="22631E37"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Dispense 100µl of diluted serum samples, negative control, positive control and calibrators into the appropriate wells. For the reagent blank, dispense 100µl of sample diluent in A1 well position. Tap the holder to remove air bubbles from the liquid and mix well. Incubate for 45 minutes at 37°C.</w:t>
      </w:r>
    </w:p>
    <w:p w14:paraId="4F8AD8BB"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3 times with 350µl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1CA952FB"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Dispense 100µl of enzyme conjugate to each well and incubate for 45 minutes at 37°C.</w:t>
      </w:r>
    </w:p>
    <w:p w14:paraId="26E120E1"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3 times with 350µl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25B72C56"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Dispense 100µl of TMB Substrate to each well and incubate at room temperature (18-25°C), in the dark, for 20 minutes.</w:t>
      </w:r>
    </w:p>
    <w:p w14:paraId="7F2C957D"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Stop the reaction by adding 100 µl of Stop Solution to each well. Gently mix for 10 seconds until the blue color completely changes to yellow.</w:t>
      </w:r>
    </w:p>
    <w:p w14:paraId="6C6FC9BA" w14:textId="77777777" w:rsidR="001B53A2" w:rsidRDefault="00000000">
      <w:pPr>
        <w:tabs>
          <w:tab w:val="left" w:pos="360"/>
        </w:tabs>
        <w:ind w:left="720" w:hanging="360"/>
        <w:jc w:val="both"/>
        <w:rPr>
          <w:rFonts w:ascii="Arial" w:hAnsi="Arial" w:cs="Arial"/>
          <w:bCs/>
          <w:sz w:val="18"/>
          <w:szCs w:val="18"/>
        </w:rPr>
      </w:pPr>
      <w:r>
        <w:rPr>
          <w:rFonts w:ascii="Arial" w:hAnsi="Arial" w:cs="Arial"/>
          <w:bCs/>
          <w:sz w:val="18"/>
          <w:szCs w:val="18"/>
        </w:rPr>
        <w:t>9.</w:t>
      </w:r>
      <w:r>
        <w:rPr>
          <w:rFonts w:ascii="Arial" w:hAnsi="Arial" w:cs="Arial"/>
          <w:bCs/>
          <w:sz w:val="18"/>
          <w:szCs w:val="18"/>
        </w:rPr>
        <w:tab/>
        <w:t>Read the optical density at 450/630 nm with a microtiter plate reader within 15 minutes.</w:t>
      </w:r>
    </w:p>
    <w:p w14:paraId="179AE560" w14:textId="77777777" w:rsidR="001B53A2" w:rsidRDefault="001B53A2">
      <w:pPr>
        <w:tabs>
          <w:tab w:val="left" w:pos="360"/>
        </w:tabs>
        <w:ind w:left="360"/>
        <w:jc w:val="both"/>
        <w:rPr>
          <w:rFonts w:ascii="Arial" w:hAnsi="Arial" w:cs="Arial"/>
          <w:bCs/>
          <w:sz w:val="18"/>
          <w:szCs w:val="18"/>
        </w:rPr>
      </w:pPr>
    </w:p>
    <w:p w14:paraId="2C5E50A5" w14:textId="77777777" w:rsidR="001B53A2" w:rsidRDefault="001B53A2">
      <w:pPr>
        <w:tabs>
          <w:tab w:val="left" w:pos="360"/>
        </w:tabs>
        <w:ind w:left="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0"/>
      </w:tblGrid>
      <w:tr w:rsidR="001B53A2" w14:paraId="2EC94EFB" w14:textId="77777777">
        <w:tc>
          <w:tcPr>
            <w:tcW w:w="4056" w:type="dxa"/>
            <w:shd w:val="clear" w:color="auto" w:fill="auto"/>
          </w:tcPr>
          <w:p w14:paraId="39488955" w14:textId="77777777" w:rsidR="001B53A2" w:rsidRDefault="00000000">
            <w:pPr>
              <w:tabs>
                <w:tab w:val="left" w:pos="360"/>
              </w:tabs>
              <w:jc w:val="both"/>
              <w:rPr>
                <w:rFonts w:ascii="Arial" w:hAnsi="Arial" w:cs="Arial"/>
                <w:bCs/>
                <w:sz w:val="18"/>
                <w:szCs w:val="18"/>
              </w:rPr>
            </w:pPr>
            <w:r>
              <w:rPr>
                <w:rFonts w:ascii="Arial" w:hAnsi="Arial" w:cs="Arial"/>
                <w:bCs/>
                <w:sz w:val="18"/>
                <w:szCs w:val="18"/>
              </w:rPr>
              <w:t>Add 100 µl of sample diluent in A1 Microwell as blank</w:t>
            </w:r>
          </w:p>
        </w:tc>
      </w:tr>
    </w:tbl>
    <w:p w14:paraId="7BE7C97F" w14:textId="77777777" w:rsidR="001B53A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6B214431" wp14:editId="7641F5AC">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2336;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062A16EF" w14:textId="77777777" w:rsidR="001B53A2" w:rsidRDefault="001B53A2">
      <w:pPr>
        <w:tabs>
          <w:tab w:val="left" w:pos="360"/>
        </w:tabs>
        <w:ind w:left="360" w:hanging="360"/>
        <w:jc w:val="both"/>
        <w:rPr>
          <w:rFonts w:ascii="Arial" w:hAnsi="Arial" w:cs="Arial"/>
          <w:bCs/>
          <w:sz w:val="18"/>
          <w:szCs w:val="18"/>
        </w:rPr>
      </w:pPr>
    </w:p>
    <w:tbl>
      <w:tblPr>
        <w:tblpPr w:leftFromText="180" w:rightFromText="180" w:vertAnchor="text" w:horzAnchor="page" w:tblpX="1066" w:tblpY="36"/>
        <w:tblOverlap w:val="never"/>
        <w:tblW w:w="4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30"/>
      </w:tblGrid>
      <w:tr w:rsidR="001B53A2" w14:paraId="02D31310" w14:textId="77777777">
        <w:tc>
          <w:tcPr>
            <w:tcW w:w="4030" w:type="dxa"/>
            <w:shd w:val="clear" w:color="auto" w:fill="auto"/>
          </w:tcPr>
          <w:p w14:paraId="17BE83CD" w14:textId="77777777" w:rsidR="001B53A2" w:rsidRDefault="00000000">
            <w:pPr>
              <w:tabs>
                <w:tab w:val="left" w:pos="360"/>
              </w:tabs>
              <w:jc w:val="both"/>
              <w:rPr>
                <w:rFonts w:ascii="Arial" w:hAnsi="Arial" w:cs="Arial"/>
                <w:bCs/>
                <w:sz w:val="18"/>
                <w:szCs w:val="18"/>
              </w:rPr>
            </w:pPr>
            <w:r>
              <w:rPr>
                <w:rFonts w:ascii="Arial" w:hAnsi="Arial" w:cs="Arial"/>
                <w:bCs/>
                <w:sz w:val="18"/>
                <w:szCs w:val="18"/>
              </w:rPr>
              <w:t>Add 100µl diluted NC, PC, Calibrators and Samples into the respective Microwells</w:t>
            </w:r>
          </w:p>
        </w:tc>
      </w:tr>
    </w:tbl>
    <w:p w14:paraId="768EFA24" w14:textId="77777777" w:rsidR="001B53A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5B7ABAA6" wp14:editId="0E575331">
                <wp:simplePos x="0" y="0"/>
                <wp:positionH relativeFrom="column">
                  <wp:posOffset>1292225</wp:posOffset>
                </wp:positionH>
                <wp:positionV relativeFrom="paragraph">
                  <wp:posOffset>344805</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1.75pt;margin-top:27.15pt;height:21pt;width:6pt;z-index:251663360;mso-width-relative:page;mso-height-relative:page;" fillcolor="#000000" filled="t" stroked="t" coordsize="21600,21600" o:gfxdata="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cnxSctgAAAAJAQAADwAAAAAAAAAB&#10;ACAAAAAiAAAAZHJzL2Rvd25yZXYueG1sUEsBAhQAFAAAAAgAh07iQP1tcS9JAgAA0gQAAA4AAAAA&#10;AAAAAQAgAAAAJwEAAGRycy9lMm9Eb2MueG1sUEsFBgAAAAAGAAYAWQEAAOIFAAAAAA==&#10;" adj="16200,5400">
                <v:fill on="t" focussize="0,0"/>
                <v:stroke color="#000000" miterlimit="8" joinstyle="miter"/>
                <v:imagedata o:title=""/>
                <o:lock v:ext="edit" aspectratio="f"/>
                <v:textbox style="layout-flow:vertical-ideographic;"/>
              </v:shape>
            </w:pict>
          </mc:Fallback>
        </mc:AlternateContent>
      </w:r>
    </w:p>
    <w:p w14:paraId="661F3329" w14:textId="77777777" w:rsidR="001B53A2" w:rsidRDefault="001B53A2">
      <w:pPr>
        <w:tabs>
          <w:tab w:val="left" w:pos="360"/>
        </w:tabs>
        <w:ind w:left="360" w:hanging="360"/>
        <w:jc w:val="both"/>
        <w:rPr>
          <w:rFonts w:ascii="Arial" w:hAnsi="Arial" w:cs="Arial"/>
          <w:bCs/>
          <w:sz w:val="18"/>
          <w:szCs w:val="18"/>
        </w:rPr>
      </w:pPr>
    </w:p>
    <w:p w14:paraId="55FA9505" w14:textId="77777777" w:rsidR="001B53A2" w:rsidRDefault="001B53A2">
      <w:pPr>
        <w:tabs>
          <w:tab w:val="left" w:pos="360"/>
        </w:tabs>
        <w:ind w:left="360" w:hanging="360"/>
        <w:jc w:val="both"/>
        <w:rPr>
          <w:rFonts w:ascii="Arial" w:hAnsi="Arial" w:cs="Arial"/>
          <w:bCs/>
          <w:sz w:val="18"/>
          <w:szCs w:val="18"/>
        </w:rPr>
      </w:pPr>
    </w:p>
    <w:p w14:paraId="0933B497" w14:textId="77777777" w:rsidR="001B53A2" w:rsidRDefault="001B53A2">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1B53A2" w14:paraId="6750A1A2" w14:textId="77777777">
        <w:tc>
          <w:tcPr>
            <w:tcW w:w="3604" w:type="dxa"/>
            <w:shd w:val="clear" w:color="auto" w:fill="auto"/>
          </w:tcPr>
          <w:p w14:paraId="1FA3BB2E"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Apply plate sealer and incubate for </w:t>
            </w:r>
            <w:r>
              <w:rPr>
                <w:rFonts w:ascii="Arial" w:hAnsi="Arial" w:cs="Arial"/>
                <w:bCs/>
                <w:sz w:val="18"/>
                <w:szCs w:val="18"/>
                <w:lang w:val="en-GB"/>
              </w:rPr>
              <w:t>45</w:t>
            </w:r>
            <w:r>
              <w:rPr>
                <w:rFonts w:ascii="Arial" w:hAnsi="Arial" w:cs="Arial"/>
                <w:bCs/>
                <w:sz w:val="18"/>
                <w:szCs w:val="18"/>
              </w:rPr>
              <w:t xml:space="preserve"> minutes at </w:t>
            </w:r>
            <w:r>
              <w:rPr>
                <w:rFonts w:ascii="Arial" w:hAnsi="Arial" w:cs="Arial"/>
                <w:bCs/>
                <w:sz w:val="18"/>
                <w:szCs w:val="18"/>
                <w:lang w:val="en-GB"/>
              </w:rPr>
              <w:t>37</w:t>
            </w:r>
            <w:r>
              <w:rPr>
                <w:rFonts w:ascii="Arial" w:hAnsi="Arial" w:cs="Arial"/>
                <w:bCs/>
                <w:sz w:val="18"/>
                <w:szCs w:val="18"/>
              </w:rPr>
              <w:t xml:space="preserve">°C  </w:t>
            </w:r>
          </w:p>
        </w:tc>
      </w:tr>
    </w:tbl>
    <w:p w14:paraId="1B55C076" w14:textId="77777777" w:rsidR="001B53A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8480" behindDoc="0" locked="0" layoutInCell="1" allowOverlap="1" wp14:anchorId="471F2CF5" wp14:editId="120C88A6">
                <wp:simplePos x="0" y="0"/>
                <wp:positionH relativeFrom="column">
                  <wp:posOffset>1252220</wp:posOffset>
                </wp:positionH>
                <wp:positionV relativeFrom="paragraph">
                  <wp:posOffset>29845</wp:posOffset>
                </wp:positionV>
                <wp:extent cx="76200" cy="266700"/>
                <wp:effectExtent l="8255" t="4445" r="10795" b="14605"/>
                <wp:wrapNone/>
                <wp:docPr id="3"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98.6pt;margin-top:2.35pt;height:21pt;width:6pt;z-index:251668480;mso-width-relative:page;mso-height-relative:page;" fillcolor="#000000" filled="t" stroked="t" coordsize="21600,21600" o:gfxdata="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&#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OS90nzVAAAACAEAAA8AAAAAAAAAAQAgAAAAIgAAAGRy&#10;cy9kb3ducmV2LnhtbFBLAQIUABQAAAAIAIdO4kBbl1wLQQIAAMkEAAAOAAAAAAAAAAEAIAAAACQB&#10;AABkcnMvZTJvRG9jLnhtbFBLBQYAAAAABgAGAFkBAADXBQAAAAA=&#10;" adj="16200,5400">
                <v:fill on="t" focussize="0,0"/>
                <v:stroke color="#000000" miterlimit="8" joinstyle="miter"/>
                <v:imagedata o:title=""/>
                <o:lock v:ext="edit" aspectratio="f"/>
                <v:textbox style="layout-flow:vertical-ideographic;"/>
              </v:shape>
            </w:pict>
          </mc:Fallback>
        </mc:AlternateContent>
      </w:r>
    </w:p>
    <w:p w14:paraId="43C524F7" w14:textId="77777777" w:rsidR="001B53A2" w:rsidRDefault="001B53A2">
      <w:pPr>
        <w:tabs>
          <w:tab w:val="left" w:pos="360"/>
        </w:tabs>
        <w:ind w:left="360" w:hanging="360"/>
        <w:jc w:val="both"/>
        <w:rPr>
          <w:rFonts w:ascii="Arial" w:hAnsi="Arial" w:cs="Arial"/>
          <w:bCs/>
          <w:sz w:val="18"/>
          <w:szCs w:val="18"/>
        </w:rPr>
      </w:pPr>
    </w:p>
    <w:tbl>
      <w:tblPr>
        <w:tblpPr w:leftFromText="180" w:rightFromText="180" w:vertAnchor="text" w:horzAnchor="page" w:tblpX="6328" w:tblpY="94"/>
        <w:tblOverlap w:val="never"/>
        <w:tblW w:w="3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5"/>
      </w:tblGrid>
      <w:tr w:rsidR="001B53A2" w14:paraId="013FF625" w14:textId="77777777">
        <w:tc>
          <w:tcPr>
            <w:tcW w:w="3695" w:type="dxa"/>
            <w:shd w:val="clear" w:color="auto" w:fill="auto"/>
          </w:tcPr>
          <w:p w14:paraId="7D27F71C" w14:textId="77777777" w:rsidR="001B53A2" w:rsidRDefault="00000000">
            <w:pPr>
              <w:tabs>
                <w:tab w:val="left" w:pos="360"/>
              </w:tabs>
              <w:jc w:val="both"/>
              <w:rPr>
                <w:rFonts w:ascii="Arial" w:hAnsi="Arial" w:cs="Arial"/>
                <w:bCs/>
                <w:sz w:val="18"/>
                <w:szCs w:val="18"/>
              </w:rPr>
            </w:pPr>
            <w:r>
              <w:rPr>
                <w:rFonts w:ascii="Arial" w:hAnsi="Arial" w:cs="Arial"/>
                <w:bCs/>
                <w:sz w:val="18"/>
                <w:szCs w:val="18"/>
              </w:rPr>
              <w:t>Wash microwells 3 times with 350µl diluted wash buffer</w:t>
            </w:r>
          </w:p>
        </w:tc>
      </w:tr>
    </w:tbl>
    <w:p w14:paraId="0DD29E6B" w14:textId="77777777" w:rsidR="001B53A2"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7456" behindDoc="0" locked="0" layoutInCell="1" allowOverlap="1" wp14:anchorId="05E31363" wp14:editId="736B7096">
                <wp:simplePos x="0" y="0"/>
                <wp:positionH relativeFrom="column">
                  <wp:posOffset>1263650</wp:posOffset>
                </wp:positionH>
                <wp:positionV relativeFrom="paragraph">
                  <wp:posOffset>374650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99.5pt;margin-top:29.5pt;height:21pt;width:6pt;z-index:251667456;mso-width-relative:page;mso-height-relative:page;" fillcolor="#000000" filled="t" stroked="t" coordsize="21600,21600" o:gfxdata="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rRkNt1QAAAAoBAAAPAAAAAAAAAAEAIAAA&#10;ACIAAABkcnMvZG93bnJldi54bWxQSwECFAAUAAAACACHTuJAr79a2E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64143275" w14:textId="77777777" w:rsidR="001B53A2" w:rsidRDefault="001B53A2">
      <w:pPr>
        <w:tabs>
          <w:tab w:val="left" w:pos="360"/>
        </w:tabs>
        <w:ind w:left="360" w:hanging="360"/>
        <w:jc w:val="both"/>
        <w:rPr>
          <w:rFonts w:ascii="Arial" w:hAnsi="Arial" w:cs="Arial"/>
          <w:bCs/>
          <w:sz w:val="18"/>
          <w:szCs w:val="18"/>
        </w:rPr>
      </w:pPr>
    </w:p>
    <w:tbl>
      <w:tblPr>
        <w:tblpPr w:leftFromText="180" w:rightFromText="180" w:vertAnchor="text" w:horzAnchor="page" w:tblpX="6366" w:tblpY="8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1B53A2" w14:paraId="4342646E" w14:textId="77777777">
        <w:tc>
          <w:tcPr>
            <w:tcW w:w="3604" w:type="dxa"/>
            <w:shd w:val="clear" w:color="auto" w:fill="auto"/>
          </w:tcPr>
          <w:p w14:paraId="75E091B3" w14:textId="77777777" w:rsidR="001B53A2" w:rsidRDefault="00000000">
            <w:pPr>
              <w:tabs>
                <w:tab w:val="left" w:pos="360"/>
              </w:tabs>
              <w:jc w:val="both"/>
              <w:rPr>
                <w:rFonts w:ascii="Arial" w:hAnsi="Arial" w:cs="Arial"/>
                <w:bCs/>
                <w:sz w:val="18"/>
                <w:szCs w:val="18"/>
              </w:rPr>
            </w:pPr>
            <w:r>
              <w:rPr>
                <w:rFonts w:ascii="Arial" w:hAnsi="Arial" w:cs="Arial"/>
                <w:bCs/>
                <w:sz w:val="18"/>
                <w:szCs w:val="18"/>
              </w:rPr>
              <w:t>A</w:t>
            </w:r>
            <w:r>
              <w:rPr>
                <w:rFonts w:ascii="Arial" w:hAnsi="Arial" w:cs="Arial"/>
                <w:bCs/>
                <w:sz w:val="18"/>
                <w:szCs w:val="18"/>
                <w:lang w:val="en-GB"/>
              </w:rPr>
              <w:t>dd 100</w:t>
            </w:r>
            <w:r>
              <w:rPr>
                <w:rFonts w:ascii="Arial" w:hAnsi="Arial" w:cs="Arial"/>
                <w:bCs/>
                <w:sz w:val="18"/>
                <w:szCs w:val="18"/>
              </w:rPr>
              <w:t>µl</w:t>
            </w:r>
            <w:r>
              <w:rPr>
                <w:rFonts w:ascii="Arial" w:hAnsi="Arial" w:cs="Arial"/>
                <w:bCs/>
                <w:sz w:val="18"/>
                <w:szCs w:val="18"/>
                <w:lang w:val="en-GB"/>
              </w:rPr>
              <w:t xml:space="preserve"> Enzyme conjugate in each well</w:t>
            </w:r>
            <w:r>
              <w:rPr>
                <w:rFonts w:ascii="Arial" w:hAnsi="Arial" w:cs="Arial"/>
                <w:bCs/>
                <w:sz w:val="18"/>
                <w:szCs w:val="18"/>
              </w:rPr>
              <w:t xml:space="preserve">  </w:t>
            </w:r>
          </w:p>
        </w:tc>
      </w:tr>
    </w:tbl>
    <w:p w14:paraId="6513B915" w14:textId="77777777" w:rsidR="001B53A2"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9504" behindDoc="0" locked="0" layoutInCell="1" allowOverlap="1" wp14:anchorId="7BCB3076" wp14:editId="3D0F1661">
                <wp:simplePos x="0" y="0"/>
                <wp:positionH relativeFrom="column">
                  <wp:posOffset>1254760</wp:posOffset>
                </wp:positionH>
                <wp:positionV relativeFrom="paragraph">
                  <wp:posOffset>226060</wp:posOffset>
                </wp:positionV>
                <wp:extent cx="76200" cy="266700"/>
                <wp:effectExtent l="8255" t="4445" r="10795" b="14605"/>
                <wp:wrapNone/>
                <wp:docPr id="4"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98.8pt;margin-top:17.8pt;height:21pt;width:6pt;z-index:251669504;mso-width-relative:page;mso-height-relative:page;" fillcolor="#000000" filled="t" stroked="t" coordsize="21600,21600" o:gfxdata="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5QDEhtcAAAAJAQAADwAAAAAAAAABACAAAAAiAAAA&#10;ZHJzL2Rvd25yZXYueG1sUEsBAhQAFAAAAAgAh07iQCG9bDtBAgAAyQQAAA4AAAAAAAAAAQAgAAAA&#10;JgEAAGRycy9lMm9Eb2MueG1sUEsFBgAAAAAGAAYAWQEAANkFAAAAAA==&#10;" adj="16200,5400">
                <v:fill on="t" focussize="0,0"/>
                <v:stroke color="#000000" miterlimit="8" joinstyle="miter"/>
                <v:imagedata o:title=""/>
                <o:lock v:ext="edit" aspectratio="f"/>
                <v:textbox style="layout-flow:vertical-ideographic;"/>
              </v:shape>
            </w:pict>
          </mc:Fallback>
        </mc:AlternateContent>
      </w:r>
    </w:p>
    <w:p w14:paraId="40B054C3" w14:textId="77777777" w:rsidR="001B53A2" w:rsidRDefault="001B53A2">
      <w:pPr>
        <w:tabs>
          <w:tab w:val="left" w:pos="360"/>
        </w:tabs>
        <w:ind w:left="360" w:hanging="360"/>
        <w:jc w:val="both"/>
        <w:rPr>
          <w:rFonts w:ascii="Arial" w:hAnsi="Arial" w:cs="Arial"/>
          <w:bCs/>
          <w:sz w:val="18"/>
          <w:szCs w:val="18"/>
        </w:rPr>
      </w:pPr>
    </w:p>
    <w:tbl>
      <w:tblPr>
        <w:tblpPr w:leftFromText="180" w:rightFromText="180" w:vertAnchor="text" w:horzAnchor="page" w:tblpX="6341" w:tblpY="121"/>
        <w:tblOverlap w:val="never"/>
        <w:tblW w:w="3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tblGrid>
      <w:tr w:rsidR="001B53A2" w14:paraId="2EFF0956" w14:textId="77777777">
        <w:trPr>
          <w:trHeight w:val="446"/>
        </w:trPr>
        <w:tc>
          <w:tcPr>
            <w:tcW w:w="3606" w:type="dxa"/>
            <w:shd w:val="clear" w:color="auto" w:fill="auto"/>
          </w:tcPr>
          <w:p w14:paraId="47B09987"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Apply plate sealer and incubate for 45 </w:t>
            </w:r>
          </w:p>
          <w:p w14:paraId="5CFE9DF8" w14:textId="77777777" w:rsidR="001B53A2" w:rsidRDefault="00000000">
            <w:pPr>
              <w:tabs>
                <w:tab w:val="left" w:pos="360"/>
              </w:tabs>
              <w:jc w:val="both"/>
              <w:rPr>
                <w:rFonts w:ascii="Arial" w:hAnsi="Arial" w:cs="Arial"/>
                <w:bCs/>
                <w:sz w:val="18"/>
                <w:szCs w:val="18"/>
              </w:rPr>
            </w:pPr>
            <w:r>
              <w:rPr>
                <w:rFonts w:ascii="Arial" w:hAnsi="Arial" w:cs="Arial"/>
                <w:bCs/>
                <w:sz w:val="18"/>
                <w:szCs w:val="18"/>
              </w:rPr>
              <w:t>minutes at 37°C</w:t>
            </w:r>
          </w:p>
        </w:tc>
      </w:tr>
    </w:tbl>
    <w:p w14:paraId="091604B5" w14:textId="77777777" w:rsidR="001B53A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06DA564B" wp14:editId="012D2091">
                <wp:simplePos x="0" y="0"/>
                <wp:positionH relativeFrom="column">
                  <wp:posOffset>1245870</wp:posOffset>
                </wp:positionH>
                <wp:positionV relativeFrom="paragraph">
                  <wp:posOffset>384810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98.1pt;margin-top:30.3pt;height:21pt;width:6pt;z-index:251660288;mso-width-relative:page;mso-height-relative:page;" fillcolor="#000000" filled="t" stroked="t" coordsize="21600,21600" o:gfxdata="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IiqIDWAAAACgEAAA8AAAAAAAAAAQAgAAAA&#10;IgAAAGRycy9kb3ducmV2LnhtbFBLAQIUABQAAAAIAIdO4kAsyjGNRgIAANIEAAAOAAAAAAAAAAEA&#10;IAAAACU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2CBF4CC7" w14:textId="77777777" w:rsidR="001B53A2" w:rsidRDefault="001B53A2">
      <w:pPr>
        <w:tabs>
          <w:tab w:val="left" w:pos="360"/>
        </w:tabs>
        <w:ind w:left="360" w:hanging="360"/>
        <w:jc w:val="both"/>
        <w:rPr>
          <w:rFonts w:ascii="Arial" w:hAnsi="Arial" w:cs="Arial"/>
          <w:bCs/>
          <w:sz w:val="18"/>
          <w:szCs w:val="18"/>
        </w:rPr>
      </w:pPr>
    </w:p>
    <w:tbl>
      <w:tblPr>
        <w:tblpPr w:leftFromText="180" w:rightFromText="180" w:vertAnchor="text" w:horzAnchor="page" w:tblpX="6303" w:tblpY="74"/>
        <w:tblOverlap w:val="never"/>
        <w:tblW w:w="3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7"/>
      </w:tblGrid>
      <w:tr w:rsidR="001B53A2" w14:paraId="5BF9A51B" w14:textId="77777777">
        <w:trPr>
          <w:trHeight w:val="332"/>
        </w:trPr>
        <w:tc>
          <w:tcPr>
            <w:tcW w:w="3577" w:type="dxa"/>
            <w:shd w:val="clear" w:color="auto" w:fill="auto"/>
          </w:tcPr>
          <w:p w14:paraId="41F12A89" w14:textId="77777777" w:rsidR="001B53A2" w:rsidRDefault="00000000">
            <w:pPr>
              <w:tabs>
                <w:tab w:val="left" w:pos="360"/>
              </w:tabs>
              <w:jc w:val="both"/>
              <w:rPr>
                <w:rFonts w:ascii="Arial" w:hAnsi="Arial" w:cs="Arial"/>
                <w:bCs/>
                <w:sz w:val="18"/>
                <w:szCs w:val="18"/>
              </w:rPr>
            </w:pPr>
            <w:r>
              <w:rPr>
                <w:rFonts w:ascii="Arial" w:hAnsi="Arial" w:cs="Arial"/>
                <w:bCs/>
                <w:sz w:val="18"/>
                <w:szCs w:val="18"/>
              </w:rPr>
              <w:t>Wash microwells 3 times with 350µl diluted wash buffer</w:t>
            </w:r>
          </w:p>
        </w:tc>
      </w:tr>
    </w:tbl>
    <w:p w14:paraId="133FE6C3" w14:textId="77777777" w:rsidR="001B53A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3B46F952" wp14:editId="2CD7A3CC">
                <wp:simplePos x="0" y="0"/>
                <wp:positionH relativeFrom="column">
                  <wp:posOffset>1240155</wp:posOffset>
                </wp:positionH>
                <wp:positionV relativeFrom="paragraph">
                  <wp:posOffset>360680</wp:posOffset>
                </wp:positionV>
                <wp:extent cx="76200" cy="266700"/>
                <wp:effectExtent l="0" t="0" r="0" b="0"/>
                <wp:wrapNone/>
                <wp:docPr id="1850012935"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3" o:spid="_x0000_s1026" o:spt="67" type="#_x0000_t67" style="position:absolute;left:0pt;margin-left:97.65pt;margin-top:28.4pt;height:21pt;width:6pt;z-index:251661312;mso-width-relative:page;mso-height-relative:page;" fillcolor="#000000" filled="t" stroked="t" coordsize="21600,21600" o:gfxdata="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PCjPc1wAAAAkBAAAPAAAAAAAAAAEA&#10;IAAAACIAAABkcnMvZG93bnJldi54bWxQSwECFAAUAAAACACHTuJALT35Xk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1584742D" w14:textId="77777777" w:rsidR="001B53A2" w:rsidRDefault="001B53A2">
      <w:pPr>
        <w:tabs>
          <w:tab w:val="left" w:pos="360"/>
        </w:tabs>
        <w:ind w:left="360" w:hanging="360"/>
        <w:jc w:val="both"/>
        <w:rPr>
          <w:rFonts w:ascii="Arial" w:hAnsi="Arial" w:cs="Arial"/>
          <w:bCs/>
          <w:sz w:val="18"/>
          <w:szCs w:val="18"/>
        </w:rPr>
      </w:pPr>
    </w:p>
    <w:tbl>
      <w:tblPr>
        <w:tblpPr w:leftFromText="180" w:rightFromText="180" w:vertAnchor="text" w:horzAnchor="page" w:tblpX="6278" w:tblpY="8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1B53A2" w14:paraId="0E077871" w14:textId="77777777">
        <w:tc>
          <w:tcPr>
            <w:tcW w:w="3604" w:type="dxa"/>
            <w:shd w:val="clear" w:color="auto" w:fill="auto"/>
          </w:tcPr>
          <w:p w14:paraId="156991B5" w14:textId="77777777" w:rsidR="001B53A2" w:rsidRDefault="00000000">
            <w:pPr>
              <w:tabs>
                <w:tab w:val="left" w:pos="360"/>
              </w:tabs>
              <w:ind w:left="360" w:hanging="360"/>
              <w:jc w:val="center"/>
              <w:rPr>
                <w:rFonts w:ascii="Arial" w:hAnsi="Arial" w:cs="Arial"/>
                <w:bCs/>
                <w:sz w:val="18"/>
                <w:szCs w:val="18"/>
              </w:rPr>
            </w:pPr>
            <w:r>
              <w:rPr>
                <w:rFonts w:ascii="Arial" w:hAnsi="Arial" w:cs="Arial"/>
                <w:bCs/>
                <w:sz w:val="18"/>
                <w:szCs w:val="18"/>
              </w:rPr>
              <w:t>Add 100µl substrate in each well</w:t>
            </w:r>
          </w:p>
        </w:tc>
      </w:tr>
    </w:tbl>
    <w:p w14:paraId="4FA4368E" w14:textId="77777777" w:rsidR="001B53A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67B3825A" wp14:editId="6C9CAE34">
                <wp:simplePos x="0" y="0"/>
                <wp:positionH relativeFrom="column">
                  <wp:posOffset>1225550</wp:posOffset>
                </wp:positionH>
                <wp:positionV relativeFrom="paragraph">
                  <wp:posOffset>229870</wp:posOffset>
                </wp:positionV>
                <wp:extent cx="76200" cy="266700"/>
                <wp:effectExtent l="19050" t="0" r="38100" b="38100"/>
                <wp:wrapNone/>
                <wp:docPr id="1171994200"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3" o:spid="_x0000_s1026" o:spt="67" type="#_x0000_t67" style="position:absolute;left:0pt;margin-left:96.5pt;margin-top:18.1pt;height:21pt;width:6pt;z-index:251665408;mso-width-relative:page;mso-height-relative:page;" fillcolor="#000000" filled="t" stroked="t" coordsize="21600,21600" o:gfxdata="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NWEY2dgAAAAJAQAADwAAAAAAAAABACAA&#10;AAAiAAAAZHJzL2Rvd25yZXYueG1sUEsBAhQAFAAAAAgAh07iQDdvEldGAgAA0gQAAA4AAAAAAAAA&#10;AQAgAAAAJw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69CDC591" w14:textId="77777777" w:rsidR="001B53A2" w:rsidRDefault="001B53A2">
      <w:pPr>
        <w:tabs>
          <w:tab w:val="left" w:pos="360"/>
        </w:tabs>
        <w:ind w:left="360" w:hanging="360"/>
        <w:jc w:val="both"/>
        <w:rPr>
          <w:rFonts w:ascii="Arial" w:hAnsi="Arial" w:cs="Arial"/>
          <w:bCs/>
          <w:sz w:val="18"/>
          <w:szCs w:val="18"/>
        </w:rPr>
      </w:pPr>
    </w:p>
    <w:tbl>
      <w:tblPr>
        <w:tblpPr w:leftFromText="180" w:rightFromText="180" w:vertAnchor="text" w:horzAnchor="page" w:tblpX="6278" w:tblpY="5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1B53A2" w14:paraId="14943D7E" w14:textId="77777777">
        <w:tc>
          <w:tcPr>
            <w:tcW w:w="3604" w:type="dxa"/>
            <w:shd w:val="clear" w:color="auto" w:fill="auto"/>
          </w:tcPr>
          <w:p w14:paraId="16213FAB" w14:textId="77777777" w:rsidR="001B53A2"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20 minutes at 18-25°</w:t>
            </w:r>
            <w:proofErr w:type="gramStart"/>
            <w:r>
              <w:rPr>
                <w:rFonts w:ascii="Arial" w:hAnsi="Arial" w:cs="Arial"/>
                <w:bCs/>
                <w:sz w:val="18"/>
                <w:szCs w:val="18"/>
              </w:rPr>
              <w:t>C  in</w:t>
            </w:r>
            <w:proofErr w:type="gramEnd"/>
            <w:r>
              <w:rPr>
                <w:rFonts w:ascii="Arial" w:hAnsi="Arial" w:cs="Arial"/>
                <w:bCs/>
                <w:sz w:val="18"/>
                <w:szCs w:val="18"/>
              </w:rPr>
              <w:t xml:space="preserve"> dark  </w:t>
            </w:r>
          </w:p>
        </w:tc>
      </w:tr>
    </w:tbl>
    <w:p w14:paraId="1607D15C" w14:textId="77777777" w:rsidR="001B53A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51D3F63A" wp14:editId="4B99FA4B">
                <wp:simplePos x="0" y="0"/>
                <wp:positionH relativeFrom="column">
                  <wp:posOffset>1219835</wp:posOffset>
                </wp:positionH>
                <wp:positionV relativeFrom="paragraph">
                  <wp:posOffset>346710</wp:posOffset>
                </wp:positionV>
                <wp:extent cx="76200" cy="266700"/>
                <wp:effectExtent l="19050" t="0" r="38100" b="38100"/>
                <wp:wrapNone/>
                <wp:docPr id="120120602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96.05pt;margin-top:27.3pt;height:21pt;width:6pt;z-index:251666432;mso-width-relative:page;mso-height-relative:page;" fillcolor="#000000" filled="t" stroked="t" coordsize="21600,21600" o:gfxdata="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FSt0WXYAAAACQEAAA8AAAAAAAAAAQAg&#10;AAAAIgAAAGRycy9kb3ducmV2LnhtbFBLAQIUABQAAAAIAIdO4kCqVKBYRwIAANIEAAAOAAAAAAAA&#10;AAEAIAAAACc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44F76DF2" w14:textId="77777777" w:rsidR="001B53A2" w:rsidRDefault="001B53A2">
      <w:pPr>
        <w:tabs>
          <w:tab w:val="left" w:pos="360"/>
        </w:tabs>
        <w:ind w:left="360" w:hanging="360"/>
        <w:jc w:val="both"/>
        <w:rPr>
          <w:rFonts w:ascii="Arial" w:hAnsi="Arial" w:cs="Arial"/>
          <w:bCs/>
          <w:sz w:val="18"/>
          <w:szCs w:val="18"/>
        </w:rPr>
      </w:pPr>
    </w:p>
    <w:tbl>
      <w:tblPr>
        <w:tblpPr w:leftFromText="180" w:rightFromText="180" w:vertAnchor="text" w:horzAnchor="page" w:tblpX="6241" w:tblpY="89"/>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1B53A2" w14:paraId="68B9D68E" w14:textId="77777777">
        <w:tc>
          <w:tcPr>
            <w:tcW w:w="3604" w:type="dxa"/>
            <w:shd w:val="clear" w:color="auto" w:fill="auto"/>
          </w:tcPr>
          <w:p w14:paraId="6341A73E" w14:textId="77777777" w:rsidR="001B53A2" w:rsidRDefault="00000000">
            <w:pPr>
              <w:tabs>
                <w:tab w:val="left" w:pos="360"/>
              </w:tabs>
              <w:jc w:val="both"/>
              <w:rPr>
                <w:rFonts w:ascii="Arial" w:hAnsi="Arial" w:cs="Arial"/>
                <w:bCs/>
                <w:sz w:val="18"/>
                <w:szCs w:val="18"/>
              </w:rPr>
            </w:pPr>
            <w:r>
              <w:rPr>
                <w:rFonts w:ascii="Arial" w:hAnsi="Arial" w:cs="Arial"/>
                <w:bCs/>
                <w:sz w:val="18"/>
                <w:szCs w:val="18"/>
              </w:rPr>
              <w:t>Add 100µl stop solution in each well</w:t>
            </w:r>
          </w:p>
        </w:tc>
      </w:tr>
    </w:tbl>
    <w:p w14:paraId="3C68E80B" w14:textId="77777777" w:rsidR="001B53A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6D23E64F" wp14:editId="15476774">
                <wp:simplePos x="0" y="0"/>
                <wp:positionH relativeFrom="column">
                  <wp:posOffset>1217930</wp:posOffset>
                </wp:positionH>
                <wp:positionV relativeFrom="paragraph">
                  <wp:posOffset>224790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95.9pt;margin-top:17.7pt;height:21pt;width:6pt;z-index:251664384;mso-width-relative:page;mso-height-relative:page;" fillcolor="#000000" filled="t" stroked="t" coordsize="21600,21600" o:gfxdata="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Xmal62AAAAAkBAAAPAAAAAAAAAAEA&#10;IAAAACIAAABkcnMvZG93bnJldi54bWxQSwECFAAUAAAACACHTuJACiYTDUgCAADSBAAADgAAAAAA&#10;AAABACAAAAAn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1F9ABB66" w14:textId="77777777" w:rsidR="001B53A2" w:rsidRDefault="001B53A2">
      <w:pPr>
        <w:tabs>
          <w:tab w:val="left" w:pos="360"/>
        </w:tabs>
        <w:ind w:left="360" w:hanging="360"/>
        <w:jc w:val="both"/>
        <w:rPr>
          <w:rFonts w:ascii="Arial" w:hAnsi="Arial" w:cs="Arial"/>
          <w:bCs/>
          <w:sz w:val="18"/>
          <w:szCs w:val="18"/>
        </w:rPr>
      </w:pPr>
    </w:p>
    <w:tbl>
      <w:tblPr>
        <w:tblpPr w:leftFromText="180" w:rightFromText="180" w:vertAnchor="text" w:horzAnchor="page" w:tblpX="6191" w:tblpY="10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1B53A2" w14:paraId="30E5C80C" w14:textId="77777777">
        <w:tc>
          <w:tcPr>
            <w:tcW w:w="3604" w:type="dxa"/>
            <w:shd w:val="clear" w:color="auto" w:fill="auto"/>
          </w:tcPr>
          <w:p w14:paraId="0E1403E3" w14:textId="77777777" w:rsidR="001B53A2"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7A38511E" w14:textId="77777777" w:rsidR="001B53A2" w:rsidRDefault="001B53A2">
      <w:pPr>
        <w:tabs>
          <w:tab w:val="left" w:pos="360"/>
        </w:tabs>
        <w:ind w:left="360" w:hanging="360"/>
        <w:jc w:val="both"/>
        <w:rPr>
          <w:rFonts w:ascii="Arial" w:hAnsi="Arial" w:cs="Arial"/>
          <w:bCs/>
          <w:sz w:val="18"/>
          <w:szCs w:val="18"/>
        </w:rPr>
      </w:pPr>
    </w:p>
    <w:p w14:paraId="5D8CE727" w14:textId="77777777" w:rsidR="001B53A2" w:rsidRDefault="001B53A2">
      <w:pPr>
        <w:tabs>
          <w:tab w:val="left" w:pos="360"/>
        </w:tabs>
        <w:jc w:val="both"/>
        <w:rPr>
          <w:rFonts w:ascii="Arial" w:hAnsi="Arial" w:cs="Arial"/>
          <w:bCs/>
          <w:sz w:val="18"/>
          <w:szCs w:val="18"/>
        </w:rPr>
      </w:pPr>
    </w:p>
    <w:p w14:paraId="018CBBBB"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RUN CRITERIA</w:t>
      </w:r>
    </w:p>
    <w:p w14:paraId="0F0AB261"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The test run may be considered valid provided the following criteria are met:</w:t>
      </w:r>
    </w:p>
    <w:p w14:paraId="2869E49E"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The O.D. value of the reagent blank against air from a microwell reader should be less than 0.250.</w:t>
      </w:r>
    </w:p>
    <w:p w14:paraId="01745B47"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If the O.D. value of the Cut Off Calibrator is lower than 0.250, the test is not valid and must be repeated.</w:t>
      </w:r>
    </w:p>
    <w:p w14:paraId="67DE74C4"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The CMV IgG Index for Negative and Positive Control should be in the range stated on the labels.</w:t>
      </w:r>
    </w:p>
    <w:p w14:paraId="5C326DB7" w14:textId="77777777" w:rsidR="001B53A2" w:rsidRDefault="001B53A2">
      <w:pPr>
        <w:tabs>
          <w:tab w:val="left" w:pos="360"/>
        </w:tabs>
        <w:ind w:left="360" w:hanging="360"/>
        <w:jc w:val="both"/>
        <w:rPr>
          <w:rFonts w:ascii="Arial" w:hAnsi="Arial" w:cs="Arial"/>
          <w:bCs/>
          <w:sz w:val="18"/>
          <w:szCs w:val="18"/>
        </w:rPr>
      </w:pPr>
    </w:p>
    <w:p w14:paraId="15A7DF66"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AVIDITY TESTING</w:t>
      </w:r>
    </w:p>
    <w:p w14:paraId="6431FE54" w14:textId="77777777" w:rsidR="001B53A2" w:rsidRDefault="00000000">
      <w:pPr>
        <w:jc w:val="both"/>
        <w:rPr>
          <w:rFonts w:ascii="Arial" w:hAnsi="Arial" w:cs="Arial"/>
          <w:bCs/>
          <w:sz w:val="18"/>
          <w:szCs w:val="18"/>
        </w:rPr>
      </w:pPr>
      <w:r>
        <w:rPr>
          <w:rFonts w:ascii="Arial" w:hAnsi="Arial" w:cs="Arial"/>
          <w:bCs/>
          <w:sz w:val="18"/>
          <w:szCs w:val="18"/>
        </w:rPr>
        <w:t xml:space="preserve">Avidity is a measure of antigen to antibody binding. </w:t>
      </w:r>
      <w:proofErr w:type="gramStart"/>
      <w:r>
        <w:rPr>
          <w:rFonts w:ascii="Arial" w:hAnsi="Arial" w:cs="Arial"/>
          <w:bCs/>
          <w:sz w:val="18"/>
          <w:szCs w:val="18"/>
        </w:rPr>
        <w:t>Avidity</w:t>
      </w:r>
      <w:proofErr w:type="gramEnd"/>
      <w:r>
        <w:rPr>
          <w:rFonts w:ascii="Arial" w:hAnsi="Arial" w:cs="Arial"/>
          <w:bCs/>
          <w:sz w:val="18"/>
          <w:szCs w:val="18"/>
        </w:rPr>
        <w:t xml:space="preserve"> Test helps in discriminating primary infection from secondary infection. </w:t>
      </w:r>
    </w:p>
    <w:p w14:paraId="6CF6D825" w14:textId="77777777" w:rsidR="001B53A2" w:rsidRDefault="00000000">
      <w:pPr>
        <w:jc w:val="both"/>
        <w:rPr>
          <w:rFonts w:ascii="Arial" w:hAnsi="Arial" w:cs="Arial"/>
          <w:bCs/>
          <w:sz w:val="18"/>
          <w:szCs w:val="18"/>
        </w:rPr>
      </w:pPr>
      <w:r>
        <w:rPr>
          <w:rFonts w:ascii="Arial" w:hAnsi="Arial" w:cs="Arial"/>
          <w:bCs/>
          <w:sz w:val="18"/>
          <w:szCs w:val="18"/>
        </w:rPr>
        <w:t xml:space="preserve">Sometimes it is not sufficient to test for IgM antibodies, as the presence of this class may be due to the persistence of IgM antibodies due to past infection or asymptomatic re-infection without risk for the fetus. For this </w:t>
      </w:r>
      <w:proofErr w:type="gramStart"/>
      <w:r>
        <w:rPr>
          <w:rFonts w:ascii="Arial" w:hAnsi="Arial" w:cs="Arial"/>
          <w:bCs/>
          <w:sz w:val="18"/>
          <w:szCs w:val="18"/>
        </w:rPr>
        <w:t>reason</w:t>
      </w:r>
      <w:proofErr w:type="gramEnd"/>
      <w:r>
        <w:rPr>
          <w:rFonts w:ascii="Arial" w:hAnsi="Arial" w:cs="Arial"/>
          <w:bCs/>
          <w:sz w:val="18"/>
          <w:szCs w:val="18"/>
        </w:rPr>
        <w:t xml:space="preserve"> it is useful to </w:t>
      </w:r>
      <w:proofErr w:type="gramStart"/>
      <w:r>
        <w:rPr>
          <w:rFonts w:ascii="Arial" w:hAnsi="Arial" w:cs="Arial"/>
          <w:bCs/>
          <w:sz w:val="18"/>
          <w:szCs w:val="18"/>
        </w:rPr>
        <w:t>assay</w:t>
      </w:r>
      <w:proofErr w:type="gramEnd"/>
      <w:r>
        <w:rPr>
          <w:rFonts w:ascii="Arial" w:hAnsi="Arial" w:cs="Arial"/>
          <w:bCs/>
          <w:sz w:val="18"/>
          <w:szCs w:val="18"/>
        </w:rPr>
        <w:t xml:space="preserve"> the avidity of IgG antibodies. The presence of low avidity is therefore an indication of recent or current infection. The avidity of IgG antibodies can be assayed with this same kit using an additional Buffer called Avidity Buffer which is available on request.</w:t>
      </w:r>
    </w:p>
    <w:p w14:paraId="54CEF867" w14:textId="77777777" w:rsidR="001B53A2" w:rsidRDefault="001B53A2">
      <w:pPr>
        <w:jc w:val="both"/>
        <w:rPr>
          <w:rFonts w:ascii="Arial" w:hAnsi="Arial" w:cs="Arial"/>
          <w:bCs/>
          <w:sz w:val="18"/>
          <w:szCs w:val="18"/>
        </w:rPr>
      </w:pPr>
    </w:p>
    <w:p w14:paraId="231C7617" w14:textId="77777777" w:rsidR="001B53A2" w:rsidRDefault="00000000">
      <w:pPr>
        <w:tabs>
          <w:tab w:val="left" w:pos="360"/>
        </w:tabs>
        <w:jc w:val="both"/>
        <w:rPr>
          <w:rFonts w:ascii="Arial" w:hAnsi="Arial" w:cs="Arial"/>
          <w:bCs/>
          <w:sz w:val="18"/>
          <w:szCs w:val="18"/>
        </w:rPr>
      </w:pPr>
      <w:r>
        <w:rPr>
          <w:rFonts w:ascii="Arial" w:hAnsi="Arial" w:cs="Arial"/>
          <w:bCs/>
          <w:sz w:val="18"/>
          <w:szCs w:val="18"/>
        </w:rPr>
        <w:t>For Procedure and Interpretation of results, kindly refer Pack Insert of Avidity Buffer.</w:t>
      </w:r>
    </w:p>
    <w:p w14:paraId="15EB0EB3" w14:textId="77777777" w:rsidR="001B53A2" w:rsidRDefault="001B53A2">
      <w:pPr>
        <w:tabs>
          <w:tab w:val="left" w:pos="360"/>
        </w:tabs>
        <w:jc w:val="both"/>
        <w:rPr>
          <w:rFonts w:ascii="Arial" w:hAnsi="Arial" w:cs="Arial"/>
          <w:bCs/>
          <w:sz w:val="18"/>
          <w:szCs w:val="18"/>
        </w:rPr>
      </w:pPr>
    </w:p>
    <w:p w14:paraId="759FA14C" w14:textId="77777777" w:rsidR="001B53A2" w:rsidRDefault="001B53A2">
      <w:pPr>
        <w:tabs>
          <w:tab w:val="left" w:pos="360"/>
        </w:tabs>
        <w:jc w:val="both"/>
        <w:rPr>
          <w:rFonts w:ascii="Arial" w:hAnsi="Arial" w:cs="Arial"/>
          <w:bCs/>
          <w:sz w:val="18"/>
          <w:szCs w:val="18"/>
        </w:rPr>
      </w:pPr>
    </w:p>
    <w:p w14:paraId="07FBCA43" w14:textId="77777777" w:rsidR="001B53A2"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618B244F" w14:textId="77777777" w:rsidR="001B53A2" w:rsidRDefault="00000000">
      <w:pPr>
        <w:tabs>
          <w:tab w:val="left" w:pos="360"/>
        </w:tabs>
        <w:jc w:val="both"/>
        <w:rPr>
          <w:rFonts w:ascii="Arial" w:hAnsi="Arial" w:cs="Arial"/>
          <w:bCs/>
          <w:sz w:val="18"/>
          <w:szCs w:val="18"/>
        </w:rPr>
      </w:pPr>
      <w:r>
        <w:rPr>
          <w:rFonts w:ascii="Arial" w:hAnsi="Arial" w:cs="Arial"/>
          <w:bCs/>
          <w:sz w:val="18"/>
          <w:szCs w:val="18"/>
        </w:rPr>
        <w:t>Qualitative Determination of CMV IgG</w:t>
      </w:r>
    </w:p>
    <w:p w14:paraId="31FCDED7"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CMV IgG index value can be calculated by dividing the mean absorbance of NC/PC/Sample by mean absorbance of Cut-Off calibrator (1.2 IU/ml).</w:t>
      </w:r>
    </w:p>
    <w:p w14:paraId="4CFDA669" w14:textId="77777777" w:rsidR="001B53A2" w:rsidRDefault="001B53A2">
      <w:pPr>
        <w:tabs>
          <w:tab w:val="left" w:pos="360"/>
        </w:tabs>
        <w:jc w:val="both"/>
        <w:rPr>
          <w:rFonts w:ascii="Arial" w:hAnsi="Arial" w:cs="Arial"/>
          <w:bCs/>
          <w:sz w:val="18"/>
          <w:szCs w:val="18"/>
        </w:rPr>
      </w:pPr>
    </w:p>
    <w:p w14:paraId="39E5EED9" w14:textId="77777777" w:rsidR="001B53A2" w:rsidRDefault="001B53A2">
      <w:pPr>
        <w:tabs>
          <w:tab w:val="left" w:pos="360"/>
        </w:tabs>
        <w:jc w:val="both"/>
        <w:rPr>
          <w:rFonts w:ascii="Arial" w:hAnsi="Arial" w:cs="Arial"/>
          <w:bCs/>
          <w:sz w:val="18"/>
          <w:szCs w:val="18"/>
        </w:rPr>
      </w:pPr>
    </w:p>
    <w:p w14:paraId="4508D977" w14:textId="77777777" w:rsidR="001B53A2" w:rsidRDefault="00000000">
      <w:pPr>
        <w:tabs>
          <w:tab w:val="left" w:pos="360"/>
        </w:tabs>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
      </w:r>
      <w:r>
        <w:rPr>
          <w:rFonts w:ascii="Arial" w:hAnsi="Arial" w:cs="Arial"/>
          <w:bCs/>
          <w:sz w:val="18"/>
          <w:szCs w:val="18"/>
        </w:rPr>
        <w:tab/>
        <w:t>Absorbance of NC</w:t>
      </w:r>
    </w:p>
    <w:p w14:paraId="7F8B93E0" w14:textId="77777777" w:rsidR="001B53A2" w:rsidRDefault="00000000">
      <w:pPr>
        <w:tabs>
          <w:tab w:val="left" w:pos="360"/>
        </w:tabs>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
      </w:r>
      <w:r>
        <w:rPr>
          <w:rFonts w:ascii="Arial" w:hAnsi="Arial" w:cs="Arial"/>
          <w:bCs/>
          <w:sz w:val="18"/>
          <w:szCs w:val="18"/>
        </w:rPr>
        <w:tab/>
        <w:t>______________</w:t>
      </w:r>
    </w:p>
    <w:p w14:paraId="28B4FCED" w14:textId="77777777" w:rsidR="001B53A2" w:rsidRDefault="00000000">
      <w:pPr>
        <w:tabs>
          <w:tab w:val="left" w:pos="360"/>
        </w:tabs>
        <w:rPr>
          <w:rFonts w:ascii="Arial" w:hAnsi="Arial" w:cs="Arial"/>
          <w:bCs/>
          <w:sz w:val="18"/>
          <w:szCs w:val="18"/>
        </w:rPr>
      </w:pPr>
      <w:r>
        <w:rPr>
          <w:rFonts w:ascii="Arial" w:hAnsi="Arial" w:cs="Arial"/>
          <w:bCs/>
          <w:sz w:val="18"/>
          <w:szCs w:val="18"/>
        </w:rPr>
        <w:t xml:space="preserve">CMV IgG Index of NC =     </w:t>
      </w:r>
    </w:p>
    <w:p w14:paraId="4257D003" w14:textId="77777777" w:rsidR="001B53A2" w:rsidRDefault="00000000">
      <w:pPr>
        <w:tabs>
          <w:tab w:val="left" w:pos="360"/>
        </w:tabs>
        <w:ind w:left="2127"/>
        <w:rPr>
          <w:rFonts w:ascii="Arial" w:hAnsi="Arial" w:cs="Arial"/>
          <w:bCs/>
          <w:sz w:val="18"/>
          <w:szCs w:val="18"/>
        </w:rPr>
      </w:pPr>
      <w:r>
        <w:rPr>
          <w:rFonts w:ascii="Arial" w:hAnsi="Arial" w:cs="Arial"/>
          <w:bCs/>
          <w:sz w:val="18"/>
          <w:szCs w:val="18"/>
        </w:rPr>
        <w:t>Absorbance of Cut-Off   calibrator</w:t>
      </w:r>
    </w:p>
    <w:p w14:paraId="3DD3DA9B" w14:textId="77777777" w:rsidR="001B53A2" w:rsidRDefault="001B53A2">
      <w:pPr>
        <w:tabs>
          <w:tab w:val="left" w:pos="360"/>
        </w:tabs>
        <w:rPr>
          <w:rFonts w:ascii="Arial" w:hAnsi="Arial" w:cs="Arial"/>
          <w:bCs/>
          <w:sz w:val="18"/>
          <w:szCs w:val="18"/>
        </w:rPr>
      </w:pPr>
    </w:p>
    <w:p w14:paraId="03764C25" w14:textId="77777777" w:rsidR="001B53A2" w:rsidRDefault="00000000">
      <w:pPr>
        <w:tabs>
          <w:tab w:val="left" w:pos="360"/>
        </w:tabs>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
      </w:r>
      <w:r>
        <w:rPr>
          <w:rFonts w:ascii="Arial" w:hAnsi="Arial" w:cs="Arial"/>
          <w:bCs/>
          <w:sz w:val="18"/>
          <w:szCs w:val="18"/>
        </w:rPr>
        <w:tab/>
        <w:t>Absorbance of PC</w:t>
      </w:r>
    </w:p>
    <w:p w14:paraId="6C53E721" w14:textId="77777777" w:rsidR="001B53A2" w:rsidRDefault="00000000">
      <w:pPr>
        <w:tabs>
          <w:tab w:val="left" w:pos="360"/>
        </w:tabs>
        <w:ind w:left="1440" w:hanging="1440"/>
        <w:rPr>
          <w:rFonts w:ascii="Arial" w:hAnsi="Arial" w:cs="Arial"/>
          <w:bCs/>
          <w:sz w:val="18"/>
          <w:szCs w:val="18"/>
        </w:rPr>
      </w:pPr>
      <w:r>
        <w:rPr>
          <w:rFonts w:ascii="Arial" w:hAnsi="Arial" w:cs="Arial"/>
          <w:bCs/>
          <w:sz w:val="18"/>
          <w:szCs w:val="18"/>
        </w:rPr>
        <w:t>CMV IgG Index of PC =      ________________</w:t>
      </w:r>
    </w:p>
    <w:p w14:paraId="69D6C5F6" w14:textId="77777777" w:rsidR="001B53A2" w:rsidRDefault="00000000">
      <w:pPr>
        <w:tabs>
          <w:tab w:val="left" w:pos="360"/>
          <w:tab w:val="left" w:pos="2127"/>
        </w:tabs>
        <w:ind w:left="2127"/>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
        <w:t>Absorbance of Cut-Off calibrator</w:t>
      </w:r>
    </w:p>
    <w:p w14:paraId="6F755AA3" w14:textId="77777777" w:rsidR="001B53A2" w:rsidRDefault="001B53A2">
      <w:pPr>
        <w:tabs>
          <w:tab w:val="left" w:pos="360"/>
        </w:tabs>
        <w:rPr>
          <w:rFonts w:ascii="Arial" w:hAnsi="Arial" w:cs="Arial"/>
          <w:bCs/>
          <w:sz w:val="18"/>
          <w:szCs w:val="18"/>
        </w:rPr>
      </w:pPr>
    </w:p>
    <w:p w14:paraId="04230B1E" w14:textId="77777777" w:rsidR="001B53A2" w:rsidRDefault="00000000">
      <w:pPr>
        <w:tabs>
          <w:tab w:val="left" w:pos="360"/>
        </w:tabs>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
      </w:r>
      <w:r>
        <w:rPr>
          <w:rFonts w:ascii="Arial" w:hAnsi="Arial" w:cs="Arial"/>
          <w:bCs/>
          <w:sz w:val="18"/>
          <w:szCs w:val="18"/>
        </w:rPr>
        <w:tab/>
        <w:t xml:space="preserve"> Absorbance of Sample</w:t>
      </w:r>
    </w:p>
    <w:p w14:paraId="4F6E2097" w14:textId="77777777" w:rsidR="001B53A2" w:rsidRDefault="00000000">
      <w:pPr>
        <w:tabs>
          <w:tab w:val="left" w:pos="360"/>
        </w:tabs>
        <w:rPr>
          <w:rFonts w:ascii="Arial" w:hAnsi="Arial" w:cs="Arial"/>
          <w:bCs/>
          <w:sz w:val="18"/>
          <w:szCs w:val="18"/>
        </w:rPr>
      </w:pPr>
      <w:r>
        <w:rPr>
          <w:rFonts w:ascii="Arial" w:hAnsi="Arial" w:cs="Arial"/>
          <w:bCs/>
          <w:sz w:val="18"/>
          <w:szCs w:val="18"/>
        </w:rPr>
        <w:t xml:space="preserve">                                              _______________</w:t>
      </w:r>
    </w:p>
    <w:p w14:paraId="4EE51E84" w14:textId="77777777" w:rsidR="001B53A2" w:rsidRDefault="00000000">
      <w:pPr>
        <w:tabs>
          <w:tab w:val="left" w:pos="360"/>
        </w:tabs>
        <w:rPr>
          <w:rFonts w:ascii="Arial" w:hAnsi="Arial" w:cs="Arial"/>
          <w:bCs/>
          <w:sz w:val="18"/>
          <w:szCs w:val="18"/>
        </w:rPr>
      </w:pPr>
      <w:r>
        <w:rPr>
          <w:rFonts w:ascii="Arial" w:hAnsi="Arial" w:cs="Arial"/>
          <w:bCs/>
          <w:sz w:val="18"/>
          <w:szCs w:val="18"/>
        </w:rPr>
        <w:t>CMV IgG Index of sample =</w:t>
      </w:r>
    </w:p>
    <w:p w14:paraId="46D089BD" w14:textId="77777777" w:rsidR="001B53A2" w:rsidRDefault="00000000">
      <w:pPr>
        <w:tabs>
          <w:tab w:val="left" w:pos="360"/>
        </w:tabs>
        <w:ind w:left="2268"/>
        <w:rPr>
          <w:rFonts w:ascii="Arial" w:hAnsi="Arial" w:cs="Arial"/>
          <w:bCs/>
          <w:sz w:val="18"/>
          <w:szCs w:val="18"/>
        </w:rPr>
      </w:pPr>
      <w:r>
        <w:rPr>
          <w:rFonts w:ascii="Arial" w:hAnsi="Arial" w:cs="Arial"/>
          <w:bCs/>
          <w:sz w:val="18"/>
          <w:szCs w:val="18"/>
        </w:rPr>
        <w:t>Absorbance of Cut-Off calibrator</w:t>
      </w:r>
    </w:p>
    <w:p w14:paraId="4941050E" w14:textId="77777777" w:rsidR="001B53A2" w:rsidRDefault="001B53A2">
      <w:pPr>
        <w:tabs>
          <w:tab w:val="left" w:pos="360"/>
        </w:tabs>
        <w:jc w:val="both"/>
        <w:rPr>
          <w:rFonts w:ascii="Arial" w:hAnsi="Arial" w:cs="Arial"/>
          <w:bCs/>
          <w:sz w:val="18"/>
          <w:szCs w:val="18"/>
        </w:rPr>
      </w:pPr>
    </w:p>
    <w:p w14:paraId="5E6BCB6B" w14:textId="77777777" w:rsidR="001B53A2" w:rsidRDefault="00000000">
      <w:pPr>
        <w:tabs>
          <w:tab w:val="left" w:pos="360"/>
        </w:tabs>
        <w:jc w:val="both"/>
        <w:rPr>
          <w:rFonts w:ascii="Arial" w:hAnsi="Arial" w:cs="Arial"/>
          <w:bCs/>
          <w:sz w:val="18"/>
          <w:szCs w:val="18"/>
        </w:rPr>
      </w:pPr>
      <w:r>
        <w:rPr>
          <w:rFonts w:ascii="Arial" w:hAnsi="Arial" w:cs="Arial"/>
          <w:bCs/>
          <w:sz w:val="18"/>
          <w:szCs w:val="18"/>
        </w:rPr>
        <w:t>Quantitative Determination of CMV IgG</w:t>
      </w:r>
    </w:p>
    <w:p w14:paraId="68679FD6" w14:textId="77777777" w:rsidR="001B53A2" w:rsidRDefault="00000000">
      <w:pPr>
        <w:tabs>
          <w:tab w:val="left" w:pos="360"/>
        </w:tabs>
        <w:jc w:val="both"/>
        <w:rPr>
          <w:rFonts w:ascii="Arial" w:hAnsi="Arial" w:cs="Arial"/>
          <w:bCs/>
          <w:sz w:val="18"/>
          <w:szCs w:val="18"/>
        </w:rPr>
      </w:pPr>
      <w:r>
        <w:rPr>
          <w:rFonts w:ascii="Arial" w:hAnsi="Arial" w:cs="Arial"/>
          <w:bCs/>
          <w:sz w:val="18"/>
          <w:szCs w:val="18"/>
        </w:rPr>
        <w:t>For a quantitative estimate of anti-CMV IgG levels of positive specimens in IU/ml, OD of calibrator and positive control are plotted on Y-axis in graph versus their corresponding anti-CMV IgG concentration of 0, 1.2, 6 and 18 IU/ml on X-axis.  The estimates of levels in patient sera are read off the graph using their individual OD values.  For example:</w:t>
      </w:r>
    </w:p>
    <w:p w14:paraId="6A6BB805" w14:textId="77777777" w:rsidR="001B53A2" w:rsidRDefault="001B53A2">
      <w:pPr>
        <w:tabs>
          <w:tab w:val="left" w:pos="360"/>
        </w:tabs>
        <w:jc w:val="both"/>
        <w:rPr>
          <w:rFonts w:ascii="Arial" w:hAnsi="Arial" w:cs="Arial"/>
          <w:bCs/>
          <w:sz w:val="18"/>
          <w:szCs w:val="18"/>
        </w:rPr>
      </w:pPr>
    </w:p>
    <w:p w14:paraId="417F8B82" w14:textId="3C09CA14" w:rsidR="001B53A2" w:rsidRDefault="00977D2B">
      <w:pPr>
        <w:tabs>
          <w:tab w:val="left" w:pos="360"/>
        </w:tabs>
        <w:jc w:val="both"/>
        <w:rPr>
          <w:rFonts w:ascii="Arial" w:hAnsi="Arial" w:cs="Arial"/>
          <w:bCs/>
          <w:sz w:val="18"/>
          <w:szCs w:val="18"/>
        </w:rPr>
      </w:pPr>
      <w:r>
        <w:object w:dxaOrig="4425" w:dyaOrig="1680" w14:anchorId="6F587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8.3pt;height:121.9pt" o:ole="">
            <v:imagedata r:id="rId7" o:title=""/>
          </v:shape>
          <o:OLEObject Type="Embed" ProgID="CorelDraw.Graphic.23" ShapeID="_x0000_i1025" DrawAspect="Content" ObjectID="_1787472200" r:id="rId8"/>
        </w:object>
      </w:r>
    </w:p>
    <w:p w14:paraId="0B0A8610" w14:textId="77777777" w:rsidR="001B53A2" w:rsidRDefault="001B53A2">
      <w:pPr>
        <w:tabs>
          <w:tab w:val="left" w:pos="360"/>
        </w:tabs>
        <w:jc w:val="both"/>
        <w:rPr>
          <w:rFonts w:ascii="Arial" w:hAnsi="Arial" w:cs="Arial"/>
          <w:bCs/>
          <w:sz w:val="18"/>
          <w:szCs w:val="18"/>
        </w:rPr>
      </w:pPr>
    </w:p>
    <w:p w14:paraId="2DC5C9D6" w14:textId="77777777" w:rsidR="001B53A2" w:rsidRDefault="00000000">
      <w:pPr>
        <w:tabs>
          <w:tab w:val="left" w:pos="360"/>
        </w:tabs>
        <w:jc w:val="both"/>
        <w:rPr>
          <w:rFonts w:ascii="Arial" w:hAnsi="Arial" w:cs="Arial"/>
          <w:bCs/>
          <w:sz w:val="18"/>
          <w:szCs w:val="18"/>
        </w:rPr>
      </w:pPr>
      <w:r>
        <w:rPr>
          <w:rFonts w:ascii="Arial" w:hAnsi="Arial" w:cs="Arial"/>
          <w:bCs/>
          <w:sz w:val="18"/>
          <w:szCs w:val="18"/>
        </w:rPr>
        <w:t>INTERPRETATION OF THE RESULT</w:t>
      </w:r>
    </w:p>
    <w:p w14:paraId="17DCEF29" w14:textId="77777777" w:rsidR="001B53A2" w:rsidRDefault="001B53A2">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390"/>
        <w:gridCol w:w="927"/>
        <w:gridCol w:w="1513"/>
      </w:tblGrid>
      <w:tr w:rsidR="001B53A2" w14:paraId="57B0AF55" w14:textId="77777777">
        <w:tc>
          <w:tcPr>
            <w:tcW w:w="1555" w:type="dxa"/>
          </w:tcPr>
          <w:p w14:paraId="11CFB843" w14:textId="77777777" w:rsidR="001B53A2" w:rsidRDefault="00000000">
            <w:pPr>
              <w:tabs>
                <w:tab w:val="left" w:pos="360"/>
              </w:tabs>
              <w:jc w:val="both"/>
              <w:rPr>
                <w:rFonts w:ascii="Arial" w:hAnsi="Arial" w:cs="Arial"/>
                <w:bCs/>
                <w:sz w:val="18"/>
                <w:szCs w:val="18"/>
              </w:rPr>
            </w:pPr>
            <w:r>
              <w:rPr>
                <w:rFonts w:ascii="Arial" w:hAnsi="Arial" w:cs="Arial"/>
                <w:bCs/>
                <w:sz w:val="18"/>
                <w:szCs w:val="18"/>
              </w:rPr>
              <w:t>IgG Index Value</w:t>
            </w:r>
          </w:p>
        </w:tc>
        <w:tc>
          <w:tcPr>
            <w:tcW w:w="708" w:type="dxa"/>
          </w:tcPr>
          <w:p w14:paraId="68DC96F0" w14:textId="77777777" w:rsidR="001B53A2" w:rsidRDefault="00000000">
            <w:pPr>
              <w:tabs>
                <w:tab w:val="left" w:pos="360"/>
              </w:tabs>
              <w:jc w:val="both"/>
              <w:rPr>
                <w:rFonts w:ascii="Arial" w:hAnsi="Arial" w:cs="Arial"/>
                <w:bCs/>
                <w:sz w:val="18"/>
                <w:szCs w:val="18"/>
              </w:rPr>
            </w:pPr>
            <w:r>
              <w:rPr>
                <w:rFonts w:ascii="Arial" w:hAnsi="Arial" w:cs="Arial"/>
                <w:bCs/>
                <w:sz w:val="18"/>
                <w:szCs w:val="18"/>
              </w:rPr>
              <w:t>Result</w:t>
            </w:r>
          </w:p>
        </w:tc>
        <w:tc>
          <w:tcPr>
            <w:tcW w:w="1567" w:type="dxa"/>
          </w:tcPr>
          <w:p w14:paraId="719762A8" w14:textId="77777777" w:rsidR="001B53A2" w:rsidRDefault="00000000">
            <w:pPr>
              <w:tabs>
                <w:tab w:val="left" w:pos="360"/>
              </w:tabs>
              <w:jc w:val="both"/>
              <w:rPr>
                <w:rFonts w:ascii="Arial" w:hAnsi="Arial" w:cs="Arial"/>
                <w:bCs/>
                <w:sz w:val="18"/>
                <w:szCs w:val="18"/>
              </w:rPr>
            </w:pPr>
            <w:r>
              <w:rPr>
                <w:rFonts w:ascii="Arial" w:hAnsi="Arial" w:cs="Arial"/>
                <w:bCs/>
                <w:sz w:val="18"/>
                <w:szCs w:val="18"/>
              </w:rPr>
              <w:t>Interpretation</w:t>
            </w:r>
          </w:p>
        </w:tc>
      </w:tr>
      <w:tr w:rsidR="001B53A2" w14:paraId="4DAF1865" w14:textId="77777777">
        <w:tc>
          <w:tcPr>
            <w:tcW w:w="1555" w:type="dxa"/>
          </w:tcPr>
          <w:p w14:paraId="304323BA"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IgG Index </w:t>
            </w:r>
          </w:p>
          <w:p w14:paraId="1ABE53DD" w14:textId="77777777" w:rsidR="001B53A2" w:rsidRDefault="00000000">
            <w:pPr>
              <w:tabs>
                <w:tab w:val="left" w:pos="360"/>
              </w:tabs>
              <w:jc w:val="both"/>
              <w:rPr>
                <w:rFonts w:ascii="Arial" w:hAnsi="Arial" w:cs="Arial"/>
                <w:bCs/>
                <w:sz w:val="18"/>
                <w:szCs w:val="18"/>
              </w:rPr>
            </w:pPr>
            <w:r>
              <w:rPr>
                <w:rFonts w:ascii="Arial" w:hAnsi="Arial" w:cs="Arial"/>
                <w:bCs/>
                <w:sz w:val="18"/>
                <w:szCs w:val="18"/>
              </w:rPr>
              <w:t>value &lt;0.90</w:t>
            </w:r>
          </w:p>
        </w:tc>
        <w:tc>
          <w:tcPr>
            <w:tcW w:w="708" w:type="dxa"/>
          </w:tcPr>
          <w:p w14:paraId="12A40F18" w14:textId="77777777" w:rsidR="001B53A2" w:rsidRDefault="00000000">
            <w:pPr>
              <w:tabs>
                <w:tab w:val="left" w:pos="360"/>
              </w:tabs>
              <w:jc w:val="both"/>
              <w:rPr>
                <w:rFonts w:ascii="Arial" w:hAnsi="Arial" w:cs="Arial"/>
                <w:bCs/>
                <w:sz w:val="18"/>
                <w:szCs w:val="18"/>
              </w:rPr>
            </w:pPr>
            <w:r>
              <w:rPr>
                <w:rFonts w:ascii="Arial" w:hAnsi="Arial" w:cs="Arial"/>
                <w:bCs/>
                <w:sz w:val="18"/>
                <w:szCs w:val="18"/>
              </w:rPr>
              <w:t>Negative</w:t>
            </w:r>
          </w:p>
        </w:tc>
        <w:tc>
          <w:tcPr>
            <w:tcW w:w="1567" w:type="dxa"/>
          </w:tcPr>
          <w:p w14:paraId="3AE3BBF9" w14:textId="77777777" w:rsidR="001B53A2" w:rsidRDefault="00000000">
            <w:pPr>
              <w:tabs>
                <w:tab w:val="left" w:pos="360"/>
              </w:tabs>
              <w:jc w:val="both"/>
              <w:rPr>
                <w:rFonts w:ascii="Arial" w:hAnsi="Arial" w:cs="Arial"/>
                <w:bCs/>
                <w:sz w:val="18"/>
                <w:szCs w:val="18"/>
              </w:rPr>
            </w:pPr>
            <w:r>
              <w:rPr>
                <w:rFonts w:ascii="Arial" w:hAnsi="Arial" w:cs="Arial"/>
                <w:bCs/>
                <w:sz w:val="18"/>
                <w:szCs w:val="18"/>
              </w:rPr>
              <w:t>Indicates absence of prior exposure to CMV virus (&lt; 1.1 IU/ml)</w:t>
            </w:r>
          </w:p>
        </w:tc>
      </w:tr>
      <w:tr w:rsidR="001B53A2" w14:paraId="77E70D7C" w14:textId="77777777">
        <w:tc>
          <w:tcPr>
            <w:tcW w:w="1555" w:type="dxa"/>
          </w:tcPr>
          <w:p w14:paraId="5147CBD5" w14:textId="77777777" w:rsidR="001B53A2" w:rsidRDefault="00000000">
            <w:pPr>
              <w:tabs>
                <w:tab w:val="left" w:pos="360"/>
              </w:tabs>
              <w:jc w:val="both"/>
              <w:rPr>
                <w:rFonts w:ascii="Arial" w:hAnsi="Arial" w:cs="Arial"/>
                <w:bCs/>
                <w:sz w:val="18"/>
                <w:szCs w:val="18"/>
              </w:rPr>
            </w:pPr>
            <w:r>
              <w:rPr>
                <w:rFonts w:ascii="Arial" w:hAnsi="Arial" w:cs="Arial"/>
                <w:bCs/>
                <w:sz w:val="18"/>
                <w:szCs w:val="18"/>
              </w:rPr>
              <w:t>IgG Index value 0.91-0.99</w:t>
            </w:r>
          </w:p>
        </w:tc>
        <w:tc>
          <w:tcPr>
            <w:tcW w:w="708" w:type="dxa"/>
          </w:tcPr>
          <w:p w14:paraId="4A638EDC" w14:textId="77777777" w:rsidR="001B53A2" w:rsidRDefault="00000000">
            <w:pPr>
              <w:tabs>
                <w:tab w:val="left" w:pos="360"/>
              </w:tabs>
              <w:jc w:val="both"/>
              <w:rPr>
                <w:rFonts w:ascii="Arial" w:hAnsi="Arial" w:cs="Arial"/>
                <w:bCs/>
                <w:sz w:val="18"/>
                <w:szCs w:val="18"/>
              </w:rPr>
            </w:pPr>
            <w:r>
              <w:rPr>
                <w:rFonts w:ascii="Arial" w:hAnsi="Arial" w:cs="Arial"/>
                <w:bCs/>
                <w:sz w:val="18"/>
                <w:szCs w:val="18"/>
              </w:rPr>
              <w:t>Grey zone</w:t>
            </w:r>
          </w:p>
        </w:tc>
        <w:tc>
          <w:tcPr>
            <w:tcW w:w="1567" w:type="dxa"/>
          </w:tcPr>
          <w:p w14:paraId="686C57A6"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Sample should be retested </w:t>
            </w:r>
          </w:p>
          <w:p w14:paraId="1F6B7152" w14:textId="77777777" w:rsidR="001B53A2" w:rsidRDefault="00000000">
            <w:pPr>
              <w:tabs>
                <w:tab w:val="left" w:pos="360"/>
              </w:tabs>
              <w:jc w:val="both"/>
              <w:rPr>
                <w:rFonts w:ascii="Arial" w:hAnsi="Arial" w:cs="Arial"/>
                <w:bCs/>
                <w:sz w:val="18"/>
                <w:szCs w:val="18"/>
              </w:rPr>
            </w:pPr>
            <w:r>
              <w:rPr>
                <w:rFonts w:ascii="Arial" w:hAnsi="Arial" w:cs="Arial"/>
                <w:bCs/>
                <w:sz w:val="18"/>
                <w:szCs w:val="18"/>
              </w:rPr>
              <w:t>(1.1-1.2 IU/ml)</w:t>
            </w:r>
          </w:p>
        </w:tc>
      </w:tr>
      <w:tr w:rsidR="001B53A2" w14:paraId="4EE282D7" w14:textId="77777777">
        <w:tc>
          <w:tcPr>
            <w:tcW w:w="1555" w:type="dxa"/>
          </w:tcPr>
          <w:p w14:paraId="75FD3ED0" w14:textId="77777777" w:rsidR="001B53A2" w:rsidRDefault="00000000">
            <w:pPr>
              <w:tabs>
                <w:tab w:val="left" w:pos="360"/>
              </w:tabs>
              <w:rPr>
                <w:rFonts w:ascii="Arial" w:hAnsi="Arial" w:cs="Arial"/>
                <w:bCs/>
                <w:sz w:val="18"/>
                <w:szCs w:val="18"/>
              </w:rPr>
            </w:pPr>
            <w:r>
              <w:rPr>
                <w:rFonts w:ascii="Arial" w:hAnsi="Arial" w:cs="Arial"/>
                <w:bCs/>
                <w:sz w:val="18"/>
                <w:szCs w:val="18"/>
              </w:rPr>
              <w:t>IgG</w:t>
            </w:r>
            <w:r>
              <w:rPr>
                <w:rFonts w:ascii="Arial" w:hAnsi="Arial" w:cs="Arial"/>
                <w:bCs/>
                <w:sz w:val="18"/>
                <w:szCs w:val="18"/>
                <w:lang w:val="en-GB"/>
              </w:rPr>
              <w:t xml:space="preserve"> </w:t>
            </w:r>
            <w:r>
              <w:rPr>
                <w:rFonts w:ascii="Arial" w:hAnsi="Arial" w:cs="Arial"/>
                <w:bCs/>
                <w:sz w:val="18"/>
                <w:szCs w:val="18"/>
              </w:rPr>
              <w:t>Index value &gt;1.0</w:t>
            </w:r>
          </w:p>
        </w:tc>
        <w:tc>
          <w:tcPr>
            <w:tcW w:w="708" w:type="dxa"/>
          </w:tcPr>
          <w:p w14:paraId="0F5F99A4" w14:textId="77777777" w:rsidR="001B53A2" w:rsidRDefault="00000000">
            <w:pPr>
              <w:tabs>
                <w:tab w:val="left" w:pos="360"/>
              </w:tabs>
              <w:jc w:val="both"/>
              <w:rPr>
                <w:rFonts w:ascii="Arial" w:hAnsi="Arial" w:cs="Arial"/>
                <w:bCs/>
                <w:sz w:val="18"/>
                <w:szCs w:val="18"/>
              </w:rPr>
            </w:pPr>
            <w:r>
              <w:rPr>
                <w:rFonts w:ascii="Arial" w:hAnsi="Arial" w:cs="Arial"/>
                <w:bCs/>
                <w:sz w:val="18"/>
                <w:szCs w:val="18"/>
              </w:rPr>
              <w:t>Positive</w:t>
            </w:r>
          </w:p>
        </w:tc>
        <w:tc>
          <w:tcPr>
            <w:tcW w:w="1567" w:type="dxa"/>
          </w:tcPr>
          <w:p w14:paraId="6195E797"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Indicates prior exposure to CMV </w:t>
            </w:r>
            <w:proofErr w:type="gramStart"/>
            <w:r>
              <w:rPr>
                <w:rFonts w:ascii="Arial" w:hAnsi="Arial" w:cs="Arial"/>
                <w:bCs/>
                <w:sz w:val="18"/>
                <w:szCs w:val="18"/>
                <w:lang w:val="en-GB"/>
              </w:rPr>
              <w:t>virus</w:t>
            </w:r>
            <w:r>
              <w:rPr>
                <w:rFonts w:ascii="Arial" w:hAnsi="Arial" w:cs="Arial"/>
                <w:bCs/>
                <w:sz w:val="18"/>
                <w:szCs w:val="18"/>
              </w:rPr>
              <w:t>(</w:t>
            </w:r>
            <w:proofErr w:type="gramEnd"/>
            <w:r>
              <w:rPr>
                <w:rFonts w:ascii="Arial" w:hAnsi="Arial" w:cs="Arial"/>
                <w:bCs/>
                <w:sz w:val="18"/>
                <w:szCs w:val="18"/>
              </w:rPr>
              <w:t>&gt; 1.2 IU/ml)</w:t>
            </w:r>
          </w:p>
        </w:tc>
      </w:tr>
    </w:tbl>
    <w:p w14:paraId="62C25D07" w14:textId="77777777" w:rsidR="001B53A2" w:rsidRDefault="001B53A2">
      <w:pPr>
        <w:tabs>
          <w:tab w:val="left" w:pos="360"/>
        </w:tabs>
        <w:jc w:val="both"/>
        <w:rPr>
          <w:rFonts w:ascii="Arial" w:hAnsi="Arial" w:cs="Arial"/>
          <w:bCs/>
          <w:sz w:val="18"/>
          <w:szCs w:val="18"/>
        </w:rPr>
      </w:pPr>
    </w:p>
    <w:p w14:paraId="2A2AC67A" w14:textId="77777777" w:rsidR="004C0E82" w:rsidRDefault="00000000">
      <w:pPr>
        <w:tabs>
          <w:tab w:val="left" w:pos="360"/>
        </w:tabs>
        <w:jc w:val="both"/>
        <w:rPr>
          <w:rFonts w:ascii="Arial" w:hAnsi="Arial" w:cs="Arial"/>
          <w:bCs/>
          <w:sz w:val="18"/>
          <w:szCs w:val="18"/>
        </w:rPr>
      </w:pPr>
      <w:r>
        <w:rPr>
          <w:rFonts w:ascii="Arial" w:hAnsi="Arial" w:cs="Arial"/>
          <w:bCs/>
          <w:sz w:val="18"/>
          <w:szCs w:val="18"/>
        </w:rPr>
        <w:tab/>
      </w:r>
    </w:p>
    <w:p w14:paraId="6CB826F3" w14:textId="4FBD3F1B" w:rsidR="001B53A2" w:rsidRDefault="00000000">
      <w:pPr>
        <w:tabs>
          <w:tab w:val="left" w:pos="360"/>
        </w:tabs>
        <w:jc w:val="both"/>
        <w:rPr>
          <w:rFonts w:ascii="Arial" w:hAnsi="Arial" w:cs="Arial"/>
          <w:bCs/>
          <w:sz w:val="18"/>
          <w:szCs w:val="18"/>
        </w:rPr>
      </w:pPr>
      <w:r>
        <w:rPr>
          <w:rFonts w:ascii="Arial" w:hAnsi="Arial" w:cs="Arial"/>
          <w:bCs/>
          <w:sz w:val="18"/>
          <w:szCs w:val="18"/>
        </w:rPr>
        <w:t>PERFORMANCE CHARACTERISTICS</w:t>
      </w:r>
    </w:p>
    <w:p w14:paraId="6FBB358E"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A total of 85 patient samples were used to evaluate specificity and sensitivity of the test. CMV IgG test results were compared to a </w:t>
      </w:r>
      <w:proofErr w:type="gramStart"/>
      <w:r>
        <w:rPr>
          <w:rFonts w:ascii="Arial" w:hAnsi="Arial" w:cs="Arial"/>
          <w:bCs/>
          <w:sz w:val="18"/>
          <w:szCs w:val="18"/>
        </w:rPr>
        <w:t>commercial ELISA kit results</w:t>
      </w:r>
      <w:proofErr w:type="gramEnd"/>
      <w:r>
        <w:rPr>
          <w:rFonts w:ascii="Arial" w:hAnsi="Arial" w:cs="Arial"/>
          <w:bCs/>
          <w:sz w:val="18"/>
          <w:szCs w:val="18"/>
        </w:rPr>
        <w:t>.</w:t>
      </w:r>
    </w:p>
    <w:p w14:paraId="7C027D65" w14:textId="77777777" w:rsidR="001B53A2" w:rsidRDefault="001B53A2">
      <w:pPr>
        <w:tabs>
          <w:tab w:val="left" w:pos="360"/>
        </w:tabs>
        <w:jc w:val="both"/>
        <w:rPr>
          <w:rFonts w:ascii="Arial" w:hAnsi="Arial" w:cs="Arial"/>
          <w:bCs/>
          <w:sz w:val="18"/>
          <w:szCs w:val="18"/>
        </w:rPr>
      </w:pPr>
    </w:p>
    <w:tbl>
      <w:tblPr>
        <w:tblStyle w:val="TableGrid"/>
        <w:tblW w:w="4605" w:type="dxa"/>
        <w:tblLook w:val="04A0" w:firstRow="1" w:lastRow="0" w:firstColumn="1" w:lastColumn="0" w:noHBand="0" w:noVBand="1"/>
      </w:tblPr>
      <w:tblGrid>
        <w:gridCol w:w="960"/>
        <w:gridCol w:w="637"/>
        <w:gridCol w:w="2000"/>
        <w:gridCol w:w="1008"/>
      </w:tblGrid>
      <w:tr w:rsidR="001B53A2" w14:paraId="58AA5DE1" w14:textId="77777777">
        <w:trPr>
          <w:trHeight w:val="536"/>
        </w:trPr>
        <w:tc>
          <w:tcPr>
            <w:tcW w:w="1597" w:type="dxa"/>
            <w:gridSpan w:val="2"/>
            <w:vMerge w:val="restart"/>
          </w:tcPr>
          <w:p w14:paraId="069192CA" w14:textId="77777777" w:rsidR="001B53A2" w:rsidRDefault="001B53A2">
            <w:pPr>
              <w:tabs>
                <w:tab w:val="left" w:pos="360"/>
              </w:tabs>
              <w:jc w:val="both"/>
              <w:rPr>
                <w:rFonts w:ascii="Arial" w:hAnsi="Arial" w:cs="Arial"/>
                <w:bCs/>
                <w:sz w:val="18"/>
                <w:szCs w:val="18"/>
              </w:rPr>
            </w:pPr>
          </w:p>
        </w:tc>
        <w:tc>
          <w:tcPr>
            <w:tcW w:w="3008" w:type="dxa"/>
            <w:gridSpan w:val="2"/>
          </w:tcPr>
          <w:p w14:paraId="19B9160B" w14:textId="77777777" w:rsidR="001B53A2" w:rsidRDefault="001B53A2">
            <w:pPr>
              <w:tabs>
                <w:tab w:val="left" w:pos="360"/>
              </w:tabs>
              <w:jc w:val="center"/>
              <w:rPr>
                <w:rFonts w:ascii="Arial" w:hAnsi="Arial" w:cs="Arial"/>
                <w:bCs/>
                <w:sz w:val="18"/>
                <w:szCs w:val="18"/>
              </w:rPr>
            </w:pPr>
          </w:p>
          <w:p w14:paraId="6C8F627C" w14:textId="77777777" w:rsidR="001B53A2" w:rsidRDefault="00000000">
            <w:pPr>
              <w:tabs>
                <w:tab w:val="left" w:pos="360"/>
              </w:tabs>
              <w:jc w:val="center"/>
              <w:rPr>
                <w:rFonts w:ascii="Arial" w:hAnsi="Arial" w:cs="Arial"/>
                <w:bCs/>
                <w:sz w:val="18"/>
                <w:szCs w:val="18"/>
              </w:rPr>
            </w:pPr>
            <w:r>
              <w:rPr>
                <w:rFonts w:ascii="Arial" w:hAnsi="Arial" w:cs="Arial"/>
                <w:bCs/>
                <w:sz w:val="18"/>
                <w:szCs w:val="18"/>
              </w:rPr>
              <w:t>Reference ELISA</w:t>
            </w:r>
          </w:p>
          <w:p w14:paraId="53C21B9E" w14:textId="77777777" w:rsidR="001B53A2" w:rsidRDefault="001B53A2">
            <w:pPr>
              <w:tabs>
                <w:tab w:val="left" w:pos="360"/>
              </w:tabs>
              <w:jc w:val="both"/>
              <w:rPr>
                <w:rFonts w:ascii="Arial" w:hAnsi="Arial" w:cs="Arial"/>
                <w:bCs/>
                <w:sz w:val="18"/>
                <w:szCs w:val="18"/>
              </w:rPr>
            </w:pPr>
          </w:p>
        </w:tc>
      </w:tr>
      <w:tr w:rsidR="001B53A2" w14:paraId="4E4D1123" w14:textId="77777777">
        <w:trPr>
          <w:trHeight w:val="125"/>
        </w:trPr>
        <w:tc>
          <w:tcPr>
            <w:tcW w:w="1597" w:type="dxa"/>
            <w:gridSpan w:val="2"/>
            <w:vMerge/>
          </w:tcPr>
          <w:p w14:paraId="1AE066A5" w14:textId="77777777" w:rsidR="001B53A2" w:rsidRDefault="001B53A2">
            <w:pPr>
              <w:tabs>
                <w:tab w:val="left" w:pos="360"/>
              </w:tabs>
              <w:jc w:val="both"/>
              <w:rPr>
                <w:rFonts w:ascii="Arial" w:hAnsi="Arial" w:cs="Arial"/>
                <w:bCs/>
                <w:sz w:val="18"/>
                <w:szCs w:val="18"/>
              </w:rPr>
            </w:pPr>
          </w:p>
        </w:tc>
        <w:tc>
          <w:tcPr>
            <w:tcW w:w="2000" w:type="dxa"/>
          </w:tcPr>
          <w:p w14:paraId="2DCE7C9E" w14:textId="77777777" w:rsidR="001B53A2" w:rsidRDefault="00000000">
            <w:pPr>
              <w:tabs>
                <w:tab w:val="left" w:pos="360"/>
              </w:tabs>
              <w:jc w:val="both"/>
              <w:rPr>
                <w:rFonts w:ascii="Arial" w:hAnsi="Arial" w:cs="Arial"/>
                <w:bCs/>
                <w:sz w:val="18"/>
                <w:szCs w:val="18"/>
              </w:rPr>
            </w:pPr>
            <w:r>
              <w:rPr>
                <w:rFonts w:ascii="Arial" w:hAnsi="Arial" w:cs="Arial"/>
                <w:bCs/>
                <w:sz w:val="18"/>
                <w:szCs w:val="18"/>
              </w:rPr>
              <w:t>N</w:t>
            </w:r>
            <w:r>
              <w:rPr>
                <w:rFonts w:ascii="Arial" w:hAnsi="Arial" w:cs="Arial"/>
                <w:bCs/>
                <w:sz w:val="18"/>
                <w:szCs w:val="18"/>
              </w:rPr>
              <w:tab/>
              <w:t xml:space="preserve">        E</w:t>
            </w:r>
            <w:r>
              <w:rPr>
                <w:rFonts w:ascii="Arial" w:hAnsi="Arial" w:cs="Arial"/>
                <w:bCs/>
                <w:sz w:val="18"/>
                <w:szCs w:val="18"/>
              </w:rPr>
              <w:tab/>
              <w:t>P</w:t>
            </w:r>
          </w:p>
        </w:tc>
        <w:tc>
          <w:tcPr>
            <w:tcW w:w="1008" w:type="dxa"/>
          </w:tcPr>
          <w:p w14:paraId="658F8779"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    Total</w:t>
            </w:r>
          </w:p>
        </w:tc>
      </w:tr>
      <w:tr w:rsidR="001B53A2" w14:paraId="4493DF63" w14:textId="77777777">
        <w:trPr>
          <w:trHeight w:val="493"/>
        </w:trPr>
        <w:tc>
          <w:tcPr>
            <w:tcW w:w="960" w:type="dxa"/>
            <w:vMerge w:val="restart"/>
          </w:tcPr>
          <w:p w14:paraId="7D973FEE" w14:textId="77777777" w:rsidR="001B53A2" w:rsidRDefault="001B53A2">
            <w:pPr>
              <w:tabs>
                <w:tab w:val="left" w:pos="360"/>
              </w:tabs>
              <w:jc w:val="both"/>
              <w:rPr>
                <w:rFonts w:ascii="Arial" w:hAnsi="Arial" w:cs="Arial"/>
                <w:bCs/>
                <w:sz w:val="18"/>
                <w:szCs w:val="18"/>
              </w:rPr>
            </w:pPr>
          </w:p>
          <w:p w14:paraId="2E7C93F5" w14:textId="77777777" w:rsidR="001B53A2" w:rsidRDefault="001B53A2">
            <w:pPr>
              <w:tabs>
                <w:tab w:val="left" w:pos="360"/>
              </w:tabs>
              <w:jc w:val="both"/>
              <w:rPr>
                <w:rFonts w:ascii="Arial" w:hAnsi="Arial" w:cs="Arial"/>
                <w:bCs/>
                <w:sz w:val="18"/>
                <w:szCs w:val="18"/>
              </w:rPr>
            </w:pPr>
          </w:p>
          <w:p w14:paraId="7C44F9A3" w14:textId="77777777" w:rsidR="001B53A2" w:rsidRDefault="00000000">
            <w:pPr>
              <w:tabs>
                <w:tab w:val="left" w:pos="360"/>
              </w:tabs>
              <w:jc w:val="both"/>
              <w:rPr>
                <w:rFonts w:ascii="Arial" w:hAnsi="Arial" w:cs="Arial"/>
                <w:bCs/>
                <w:sz w:val="18"/>
                <w:szCs w:val="18"/>
              </w:rPr>
            </w:pPr>
            <w:r>
              <w:rPr>
                <w:rFonts w:ascii="Arial" w:hAnsi="Arial" w:cs="Arial"/>
                <w:bCs/>
                <w:sz w:val="18"/>
                <w:szCs w:val="18"/>
              </w:rPr>
              <w:t>CMV IgG ELISA</w:t>
            </w:r>
          </w:p>
        </w:tc>
        <w:tc>
          <w:tcPr>
            <w:tcW w:w="636" w:type="dxa"/>
          </w:tcPr>
          <w:p w14:paraId="7D29E809" w14:textId="77777777" w:rsidR="001B53A2" w:rsidRDefault="00000000">
            <w:pPr>
              <w:tabs>
                <w:tab w:val="left" w:pos="360"/>
              </w:tabs>
              <w:jc w:val="both"/>
              <w:rPr>
                <w:rFonts w:ascii="Arial" w:hAnsi="Arial" w:cs="Arial"/>
                <w:bCs/>
                <w:sz w:val="18"/>
                <w:szCs w:val="18"/>
              </w:rPr>
            </w:pPr>
            <w:r>
              <w:rPr>
                <w:rFonts w:ascii="Arial" w:hAnsi="Arial" w:cs="Arial"/>
                <w:bCs/>
                <w:sz w:val="18"/>
                <w:szCs w:val="18"/>
              </w:rPr>
              <w:t>N</w:t>
            </w:r>
          </w:p>
          <w:p w14:paraId="4BB78AFE" w14:textId="77777777" w:rsidR="001B53A2" w:rsidRDefault="00000000">
            <w:pPr>
              <w:tabs>
                <w:tab w:val="left" w:pos="360"/>
              </w:tabs>
              <w:jc w:val="both"/>
              <w:rPr>
                <w:rFonts w:ascii="Arial" w:hAnsi="Arial" w:cs="Arial"/>
                <w:bCs/>
                <w:sz w:val="18"/>
                <w:szCs w:val="18"/>
              </w:rPr>
            </w:pPr>
            <w:r>
              <w:rPr>
                <w:rFonts w:ascii="Arial" w:hAnsi="Arial" w:cs="Arial"/>
                <w:bCs/>
                <w:sz w:val="18"/>
                <w:szCs w:val="18"/>
              </w:rPr>
              <w:tab/>
            </w:r>
          </w:p>
          <w:p w14:paraId="5B5C1780" w14:textId="77777777" w:rsidR="001B53A2" w:rsidRDefault="00000000">
            <w:pPr>
              <w:tabs>
                <w:tab w:val="left" w:pos="360"/>
              </w:tabs>
              <w:jc w:val="both"/>
              <w:rPr>
                <w:rFonts w:ascii="Arial" w:hAnsi="Arial" w:cs="Arial"/>
                <w:bCs/>
                <w:sz w:val="18"/>
                <w:szCs w:val="18"/>
              </w:rPr>
            </w:pPr>
            <w:r>
              <w:rPr>
                <w:rFonts w:ascii="Arial" w:hAnsi="Arial" w:cs="Arial"/>
                <w:bCs/>
                <w:sz w:val="18"/>
                <w:szCs w:val="18"/>
              </w:rPr>
              <w:t>E</w:t>
            </w:r>
          </w:p>
          <w:p w14:paraId="76FE728C" w14:textId="77777777" w:rsidR="001B53A2" w:rsidRDefault="00000000">
            <w:pPr>
              <w:tabs>
                <w:tab w:val="left" w:pos="360"/>
              </w:tabs>
              <w:jc w:val="both"/>
              <w:rPr>
                <w:rFonts w:ascii="Arial" w:hAnsi="Arial" w:cs="Arial"/>
                <w:bCs/>
                <w:sz w:val="18"/>
                <w:szCs w:val="18"/>
              </w:rPr>
            </w:pPr>
            <w:r>
              <w:rPr>
                <w:rFonts w:ascii="Arial" w:hAnsi="Arial" w:cs="Arial"/>
                <w:bCs/>
                <w:sz w:val="18"/>
                <w:szCs w:val="18"/>
              </w:rPr>
              <w:tab/>
            </w:r>
          </w:p>
          <w:p w14:paraId="1A7D5807" w14:textId="77777777" w:rsidR="001B53A2" w:rsidRDefault="00000000">
            <w:pPr>
              <w:tabs>
                <w:tab w:val="left" w:pos="360"/>
              </w:tabs>
              <w:jc w:val="both"/>
              <w:rPr>
                <w:rFonts w:ascii="Arial" w:hAnsi="Arial" w:cs="Arial"/>
                <w:bCs/>
                <w:sz w:val="18"/>
                <w:szCs w:val="18"/>
              </w:rPr>
            </w:pPr>
            <w:r>
              <w:rPr>
                <w:rFonts w:ascii="Arial" w:hAnsi="Arial" w:cs="Arial"/>
                <w:bCs/>
                <w:sz w:val="18"/>
                <w:szCs w:val="18"/>
              </w:rPr>
              <w:t>P</w:t>
            </w:r>
          </w:p>
        </w:tc>
        <w:tc>
          <w:tcPr>
            <w:tcW w:w="2000" w:type="dxa"/>
          </w:tcPr>
          <w:p w14:paraId="55A6BF10" w14:textId="77777777" w:rsidR="001B53A2" w:rsidRDefault="00000000">
            <w:pPr>
              <w:tabs>
                <w:tab w:val="left" w:pos="360"/>
              </w:tabs>
              <w:jc w:val="both"/>
              <w:rPr>
                <w:rFonts w:ascii="Arial" w:hAnsi="Arial" w:cs="Arial"/>
                <w:bCs/>
                <w:sz w:val="18"/>
                <w:szCs w:val="18"/>
              </w:rPr>
            </w:pPr>
            <w:r>
              <w:rPr>
                <w:rFonts w:ascii="Arial" w:hAnsi="Arial" w:cs="Arial"/>
                <w:bCs/>
                <w:sz w:val="18"/>
                <w:szCs w:val="18"/>
              </w:rPr>
              <w:t>45 (D)     0        1(B)</w:t>
            </w:r>
          </w:p>
          <w:p w14:paraId="78FC9D54"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   </w:t>
            </w:r>
          </w:p>
          <w:p w14:paraId="0E2C9B86"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0            </w:t>
            </w:r>
            <w:r>
              <w:rPr>
                <w:rFonts w:ascii="Arial" w:hAnsi="Arial" w:cs="Arial"/>
                <w:bCs/>
                <w:sz w:val="18"/>
                <w:szCs w:val="18"/>
                <w:lang w:val="en-GB"/>
              </w:rPr>
              <w:t xml:space="preserve"> </w:t>
            </w:r>
            <w:r>
              <w:rPr>
                <w:rFonts w:ascii="Arial" w:hAnsi="Arial" w:cs="Arial"/>
                <w:bCs/>
                <w:sz w:val="18"/>
                <w:szCs w:val="18"/>
              </w:rPr>
              <w:t>1</w:t>
            </w:r>
            <w:r>
              <w:rPr>
                <w:rFonts w:ascii="Arial" w:hAnsi="Arial" w:cs="Arial"/>
                <w:bCs/>
                <w:sz w:val="18"/>
                <w:szCs w:val="18"/>
              </w:rPr>
              <w:tab/>
              <w:t xml:space="preserve"> 0</w:t>
            </w:r>
          </w:p>
          <w:p w14:paraId="60572ED5" w14:textId="77777777" w:rsidR="001B53A2" w:rsidRDefault="001B53A2">
            <w:pPr>
              <w:tabs>
                <w:tab w:val="left" w:pos="360"/>
              </w:tabs>
              <w:jc w:val="both"/>
              <w:rPr>
                <w:rFonts w:ascii="Arial" w:hAnsi="Arial" w:cs="Arial"/>
                <w:bCs/>
                <w:sz w:val="18"/>
                <w:szCs w:val="18"/>
              </w:rPr>
            </w:pPr>
          </w:p>
          <w:p w14:paraId="0BAC8257" w14:textId="16FD4448" w:rsidR="001B53A2" w:rsidRDefault="00000000">
            <w:pPr>
              <w:tabs>
                <w:tab w:val="left" w:pos="360"/>
              </w:tabs>
              <w:jc w:val="both"/>
              <w:rPr>
                <w:rFonts w:ascii="Arial" w:hAnsi="Arial" w:cs="Arial"/>
                <w:bCs/>
                <w:sz w:val="18"/>
                <w:szCs w:val="18"/>
              </w:rPr>
            </w:pPr>
            <w:r>
              <w:rPr>
                <w:rFonts w:ascii="Arial" w:hAnsi="Arial" w:cs="Arial"/>
                <w:bCs/>
                <w:sz w:val="18"/>
                <w:szCs w:val="18"/>
              </w:rPr>
              <w:t>1(C)</w:t>
            </w:r>
            <w:r>
              <w:rPr>
                <w:rFonts w:ascii="Arial" w:hAnsi="Arial" w:cs="Arial"/>
                <w:bCs/>
                <w:sz w:val="18"/>
                <w:szCs w:val="18"/>
              </w:rPr>
              <w:tab/>
              <w:t xml:space="preserve">      </w:t>
            </w:r>
            <w:r w:rsidR="00AE5B3B">
              <w:rPr>
                <w:rFonts w:ascii="Arial" w:hAnsi="Arial" w:cs="Arial"/>
                <w:bCs/>
                <w:sz w:val="18"/>
                <w:szCs w:val="18"/>
              </w:rPr>
              <w:t xml:space="preserve">  </w:t>
            </w:r>
            <w:r>
              <w:rPr>
                <w:rFonts w:ascii="Arial" w:hAnsi="Arial" w:cs="Arial"/>
                <w:bCs/>
                <w:sz w:val="18"/>
                <w:szCs w:val="18"/>
              </w:rPr>
              <w:t>0       38(A)</w:t>
            </w:r>
            <w:r>
              <w:rPr>
                <w:rFonts w:ascii="Arial" w:hAnsi="Arial" w:cs="Arial"/>
                <w:bCs/>
                <w:sz w:val="18"/>
                <w:szCs w:val="18"/>
              </w:rPr>
              <w:tab/>
            </w:r>
          </w:p>
        </w:tc>
        <w:tc>
          <w:tcPr>
            <w:tcW w:w="1008" w:type="dxa"/>
          </w:tcPr>
          <w:p w14:paraId="7410F8BA"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      46</w:t>
            </w:r>
          </w:p>
          <w:p w14:paraId="4A22EF75"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      </w:t>
            </w:r>
          </w:p>
          <w:p w14:paraId="394926F5" w14:textId="77777777" w:rsidR="001B53A2" w:rsidRDefault="00000000">
            <w:pPr>
              <w:tabs>
                <w:tab w:val="left" w:pos="360"/>
              </w:tabs>
              <w:ind w:firstLineChars="200" w:firstLine="360"/>
              <w:jc w:val="both"/>
              <w:rPr>
                <w:rFonts w:ascii="Arial" w:hAnsi="Arial" w:cs="Arial"/>
                <w:bCs/>
                <w:sz w:val="18"/>
                <w:szCs w:val="18"/>
              </w:rPr>
            </w:pPr>
            <w:r>
              <w:rPr>
                <w:rFonts w:ascii="Arial" w:hAnsi="Arial" w:cs="Arial"/>
                <w:bCs/>
                <w:sz w:val="18"/>
                <w:szCs w:val="18"/>
              </w:rPr>
              <w:t>1</w:t>
            </w:r>
          </w:p>
          <w:p w14:paraId="46685B79" w14:textId="77777777" w:rsidR="001B53A2" w:rsidRDefault="00000000">
            <w:pPr>
              <w:tabs>
                <w:tab w:val="left" w:pos="360"/>
              </w:tabs>
              <w:jc w:val="both"/>
              <w:rPr>
                <w:rFonts w:ascii="Arial" w:hAnsi="Arial" w:cs="Arial"/>
                <w:bCs/>
                <w:sz w:val="18"/>
                <w:szCs w:val="18"/>
              </w:rPr>
            </w:pPr>
            <w:r>
              <w:rPr>
                <w:rFonts w:ascii="Arial" w:hAnsi="Arial" w:cs="Arial"/>
                <w:bCs/>
                <w:sz w:val="18"/>
                <w:szCs w:val="18"/>
              </w:rPr>
              <w:t xml:space="preserve">     </w:t>
            </w:r>
          </w:p>
          <w:p w14:paraId="2C89FBF6" w14:textId="77777777" w:rsidR="001B53A2" w:rsidRDefault="00000000">
            <w:pPr>
              <w:tabs>
                <w:tab w:val="left" w:pos="360"/>
              </w:tabs>
              <w:ind w:firstLineChars="150" w:firstLine="270"/>
              <w:jc w:val="both"/>
              <w:rPr>
                <w:rFonts w:ascii="Arial" w:hAnsi="Arial" w:cs="Arial"/>
                <w:bCs/>
                <w:sz w:val="18"/>
                <w:szCs w:val="18"/>
              </w:rPr>
            </w:pPr>
            <w:r>
              <w:rPr>
                <w:rFonts w:ascii="Arial" w:hAnsi="Arial" w:cs="Arial"/>
                <w:bCs/>
                <w:sz w:val="18"/>
                <w:szCs w:val="18"/>
              </w:rPr>
              <w:t>39</w:t>
            </w:r>
          </w:p>
        </w:tc>
      </w:tr>
      <w:tr w:rsidR="001B53A2" w14:paraId="13574FAA" w14:textId="77777777">
        <w:trPr>
          <w:trHeight w:val="61"/>
        </w:trPr>
        <w:tc>
          <w:tcPr>
            <w:tcW w:w="960" w:type="dxa"/>
            <w:vMerge/>
          </w:tcPr>
          <w:p w14:paraId="77EDBCB1" w14:textId="77777777" w:rsidR="001B53A2" w:rsidRDefault="001B53A2">
            <w:pPr>
              <w:tabs>
                <w:tab w:val="left" w:pos="360"/>
              </w:tabs>
              <w:jc w:val="both"/>
              <w:rPr>
                <w:rFonts w:ascii="Arial" w:hAnsi="Arial" w:cs="Arial"/>
                <w:bCs/>
                <w:sz w:val="18"/>
                <w:szCs w:val="18"/>
              </w:rPr>
            </w:pPr>
          </w:p>
        </w:tc>
        <w:tc>
          <w:tcPr>
            <w:tcW w:w="636" w:type="dxa"/>
          </w:tcPr>
          <w:p w14:paraId="766CC96F" w14:textId="77777777" w:rsidR="001B53A2" w:rsidRDefault="00000000">
            <w:pPr>
              <w:tabs>
                <w:tab w:val="left" w:pos="360"/>
              </w:tabs>
              <w:jc w:val="both"/>
              <w:rPr>
                <w:rFonts w:ascii="Arial" w:hAnsi="Arial" w:cs="Arial"/>
                <w:bCs/>
                <w:sz w:val="18"/>
                <w:szCs w:val="18"/>
              </w:rPr>
            </w:pPr>
            <w:r>
              <w:rPr>
                <w:rFonts w:ascii="Arial" w:hAnsi="Arial" w:cs="Arial"/>
                <w:bCs/>
                <w:sz w:val="18"/>
                <w:szCs w:val="18"/>
              </w:rPr>
              <w:t>Total</w:t>
            </w:r>
          </w:p>
          <w:p w14:paraId="4678A055" w14:textId="77777777" w:rsidR="001B53A2" w:rsidRDefault="001B53A2">
            <w:pPr>
              <w:tabs>
                <w:tab w:val="left" w:pos="360"/>
              </w:tabs>
              <w:jc w:val="both"/>
              <w:rPr>
                <w:rFonts w:ascii="Arial" w:hAnsi="Arial" w:cs="Arial"/>
                <w:bCs/>
                <w:sz w:val="18"/>
                <w:szCs w:val="18"/>
              </w:rPr>
            </w:pPr>
          </w:p>
        </w:tc>
        <w:tc>
          <w:tcPr>
            <w:tcW w:w="2000" w:type="dxa"/>
          </w:tcPr>
          <w:p w14:paraId="1CABC435" w14:textId="22CDCA19" w:rsidR="001B53A2" w:rsidRDefault="00000000">
            <w:pPr>
              <w:tabs>
                <w:tab w:val="left" w:pos="360"/>
              </w:tabs>
              <w:jc w:val="both"/>
              <w:rPr>
                <w:rFonts w:ascii="Arial" w:hAnsi="Arial" w:cs="Arial"/>
                <w:bCs/>
                <w:sz w:val="18"/>
                <w:szCs w:val="18"/>
              </w:rPr>
            </w:pPr>
            <w:r>
              <w:t xml:space="preserve">46         </w:t>
            </w:r>
            <w:r>
              <w:tab/>
              <w:t>1</w:t>
            </w:r>
            <w:r>
              <w:tab/>
              <w:t>39</w:t>
            </w:r>
          </w:p>
        </w:tc>
        <w:tc>
          <w:tcPr>
            <w:tcW w:w="1008" w:type="dxa"/>
          </w:tcPr>
          <w:p w14:paraId="0492EB3E" w14:textId="77777777" w:rsidR="001B53A2" w:rsidRDefault="00000000">
            <w:pPr>
              <w:tabs>
                <w:tab w:val="left" w:pos="360"/>
              </w:tabs>
              <w:jc w:val="both"/>
              <w:rPr>
                <w:rFonts w:ascii="Arial" w:hAnsi="Arial" w:cs="Arial"/>
                <w:bCs/>
                <w:sz w:val="18"/>
                <w:szCs w:val="18"/>
              </w:rPr>
            </w:pPr>
            <w:r>
              <w:t xml:space="preserve">      86</w:t>
            </w:r>
          </w:p>
        </w:tc>
      </w:tr>
    </w:tbl>
    <w:p w14:paraId="1797F1B2" w14:textId="0B92E3FE" w:rsidR="001B53A2" w:rsidRDefault="001B53A2">
      <w:pPr>
        <w:tabs>
          <w:tab w:val="left" w:pos="360"/>
        </w:tabs>
        <w:jc w:val="both"/>
        <w:rPr>
          <w:rFonts w:ascii="Arial" w:hAnsi="Arial" w:cs="Arial"/>
          <w:bCs/>
          <w:sz w:val="18"/>
          <w:szCs w:val="18"/>
        </w:rPr>
      </w:pPr>
    </w:p>
    <w:p w14:paraId="3B1FF156" w14:textId="14412C31" w:rsidR="001B53A2" w:rsidRDefault="00000000">
      <w:pPr>
        <w:tabs>
          <w:tab w:val="left" w:pos="360"/>
        </w:tabs>
        <w:jc w:val="both"/>
        <w:rPr>
          <w:rFonts w:ascii="Arial" w:hAnsi="Arial" w:cs="Arial"/>
          <w:bCs/>
          <w:sz w:val="18"/>
          <w:szCs w:val="18"/>
        </w:rPr>
      </w:pPr>
      <w:r>
        <w:rPr>
          <w:rFonts w:ascii="Arial" w:hAnsi="Arial" w:cs="Arial"/>
          <w:bCs/>
          <w:sz w:val="18"/>
          <w:szCs w:val="18"/>
        </w:rPr>
        <w:t>Sensitivity = 97%</w:t>
      </w:r>
    </w:p>
    <w:p w14:paraId="537A4882" w14:textId="77777777" w:rsidR="001B53A2" w:rsidRDefault="00000000">
      <w:pPr>
        <w:tabs>
          <w:tab w:val="left" w:pos="360"/>
        </w:tabs>
        <w:jc w:val="both"/>
        <w:rPr>
          <w:rFonts w:ascii="Arial" w:hAnsi="Arial" w:cs="Arial"/>
          <w:bCs/>
          <w:sz w:val="18"/>
          <w:szCs w:val="18"/>
        </w:rPr>
      </w:pPr>
      <w:r>
        <w:rPr>
          <w:rFonts w:ascii="Arial" w:hAnsi="Arial" w:cs="Arial"/>
          <w:bCs/>
          <w:sz w:val="18"/>
          <w:szCs w:val="18"/>
        </w:rPr>
        <w:t>Specificity = 98%</w:t>
      </w:r>
    </w:p>
    <w:p w14:paraId="153C7C05" w14:textId="77777777" w:rsidR="001B53A2" w:rsidRDefault="00000000">
      <w:pPr>
        <w:tabs>
          <w:tab w:val="left" w:pos="360"/>
        </w:tabs>
        <w:jc w:val="both"/>
        <w:rPr>
          <w:rFonts w:ascii="Arial" w:hAnsi="Arial" w:cs="Arial"/>
          <w:bCs/>
          <w:sz w:val="18"/>
          <w:szCs w:val="18"/>
        </w:rPr>
      </w:pPr>
      <w:r>
        <w:rPr>
          <w:rFonts w:ascii="Arial" w:hAnsi="Arial" w:cs="Arial"/>
          <w:bCs/>
          <w:sz w:val="18"/>
          <w:szCs w:val="18"/>
        </w:rPr>
        <w:t>Accuracy= 98%</w:t>
      </w:r>
    </w:p>
    <w:p w14:paraId="4C6E88A8" w14:textId="77777777" w:rsidR="001B53A2" w:rsidRDefault="001B53A2">
      <w:pPr>
        <w:tabs>
          <w:tab w:val="left" w:pos="360"/>
        </w:tabs>
        <w:jc w:val="both"/>
        <w:rPr>
          <w:rFonts w:ascii="Arial" w:hAnsi="Arial" w:cs="Arial"/>
          <w:bCs/>
          <w:sz w:val="18"/>
          <w:szCs w:val="18"/>
        </w:rPr>
      </w:pPr>
    </w:p>
    <w:p w14:paraId="477D81C1" w14:textId="77777777" w:rsidR="001B53A2" w:rsidRDefault="00000000">
      <w:pPr>
        <w:tabs>
          <w:tab w:val="left" w:pos="360"/>
        </w:tabs>
        <w:jc w:val="both"/>
        <w:rPr>
          <w:rFonts w:ascii="Arial" w:hAnsi="Arial" w:cs="Arial"/>
          <w:bCs/>
          <w:sz w:val="18"/>
          <w:szCs w:val="18"/>
        </w:rPr>
      </w:pPr>
      <w:r>
        <w:rPr>
          <w:rFonts w:ascii="Arial" w:hAnsi="Arial" w:cs="Arial"/>
          <w:bCs/>
          <w:sz w:val="18"/>
          <w:szCs w:val="18"/>
        </w:rPr>
        <w:t>IMPORTANT NOTE</w:t>
      </w:r>
    </w:p>
    <w:p w14:paraId="34E79218"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This assay is a temperature sensitive assay. The best temperature condition for this assay is 37°C.</w:t>
      </w:r>
    </w:p>
    <w:p w14:paraId="32DC7969"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The </w:t>
      </w:r>
      <w:proofErr w:type="gramStart"/>
      <w:r>
        <w:rPr>
          <w:rFonts w:ascii="Arial" w:hAnsi="Arial" w:cs="Arial"/>
          <w:bCs/>
          <w:sz w:val="18"/>
          <w:szCs w:val="18"/>
        </w:rPr>
        <w:t>wash</w:t>
      </w:r>
      <w:proofErr w:type="gramEnd"/>
      <w:r>
        <w:rPr>
          <w:rFonts w:ascii="Arial" w:hAnsi="Arial" w:cs="Arial"/>
          <w:bCs/>
          <w:sz w:val="18"/>
          <w:szCs w:val="18"/>
        </w:rPr>
        <w:t xml:space="preserve"> procedure is critical. Insufficient washing will result in poor precision and falsely elevated absorbance readings.</w:t>
      </w:r>
    </w:p>
    <w:p w14:paraId="4F2A910D"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It is recommended to use the </w:t>
      </w:r>
      <w:proofErr w:type="spellStart"/>
      <w:proofErr w:type="gramStart"/>
      <w:r>
        <w:rPr>
          <w:rFonts w:ascii="Arial" w:hAnsi="Arial" w:cs="Arial"/>
          <w:bCs/>
          <w:sz w:val="18"/>
          <w:szCs w:val="18"/>
        </w:rPr>
        <w:t>multi channel</w:t>
      </w:r>
      <w:proofErr w:type="spellEnd"/>
      <w:proofErr w:type="gramEnd"/>
      <w:r>
        <w:rPr>
          <w:rFonts w:ascii="Arial" w:hAnsi="Arial" w:cs="Arial"/>
          <w:bCs/>
          <w:sz w:val="18"/>
          <w:szCs w:val="18"/>
        </w:rPr>
        <w:t xml:space="preserve"> pipettes to avoid time effect. A full plate of 96 wells may be used if automated pipetting is available.</w:t>
      </w:r>
    </w:p>
    <w:p w14:paraId="2F0B8CBF"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Duplication of Calibrators, controls &amp; samples is not mandatory but may provide information on reproducibility &amp; application errors.</w:t>
      </w:r>
    </w:p>
    <w:p w14:paraId="692339E0" w14:textId="77777777" w:rsidR="001B53A2" w:rsidRDefault="001B53A2">
      <w:pPr>
        <w:tabs>
          <w:tab w:val="left" w:pos="360"/>
        </w:tabs>
        <w:jc w:val="both"/>
        <w:rPr>
          <w:rFonts w:ascii="Arial" w:hAnsi="Arial" w:cs="Arial"/>
          <w:bCs/>
          <w:sz w:val="18"/>
          <w:szCs w:val="18"/>
        </w:rPr>
      </w:pPr>
    </w:p>
    <w:p w14:paraId="077032F3" w14:textId="77777777" w:rsidR="001B53A2" w:rsidRDefault="00000000">
      <w:pPr>
        <w:tabs>
          <w:tab w:val="left" w:pos="360"/>
        </w:tabs>
        <w:jc w:val="both"/>
        <w:rPr>
          <w:rFonts w:ascii="Arial" w:hAnsi="Arial" w:cs="Arial"/>
          <w:bCs/>
          <w:sz w:val="18"/>
          <w:szCs w:val="18"/>
        </w:rPr>
      </w:pPr>
      <w:r>
        <w:rPr>
          <w:rFonts w:ascii="Arial" w:hAnsi="Arial" w:cs="Arial"/>
          <w:bCs/>
          <w:sz w:val="18"/>
          <w:szCs w:val="18"/>
        </w:rPr>
        <w:t>LIMITATIONS OF THE ASSAY</w:t>
      </w:r>
    </w:p>
    <w:p w14:paraId="765F4F51"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Lipemic, hemolyzed, icteric or heat inactivated sera may cause erroneous results.</w:t>
      </w:r>
    </w:p>
    <w:p w14:paraId="4172DBB9"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As with other serological assays, the results of these assays should be used in conjunction with information available from clinical evaluation and other diagnostic procedures.</w:t>
      </w:r>
    </w:p>
    <w:p w14:paraId="6E642770" w14:textId="77777777" w:rsidR="001B53A2" w:rsidRDefault="001B53A2">
      <w:pPr>
        <w:tabs>
          <w:tab w:val="left" w:pos="360"/>
        </w:tabs>
        <w:jc w:val="both"/>
        <w:rPr>
          <w:rFonts w:ascii="Arial" w:hAnsi="Arial" w:cs="Arial"/>
          <w:bCs/>
          <w:sz w:val="18"/>
          <w:szCs w:val="18"/>
        </w:rPr>
      </w:pPr>
    </w:p>
    <w:p w14:paraId="1349EEB9" w14:textId="77777777" w:rsidR="001B53A2" w:rsidRDefault="00000000">
      <w:pPr>
        <w:tabs>
          <w:tab w:val="left" w:pos="360"/>
        </w:tabs>
        <w:jc w:val="both"/>
        <w:rPr>
          <w:rFonts w:ascii="Arial" w:hAnsi="Arial" w:cs="Arial"/>
          <w:bCs/>
          <w:sz w:val="18"/>
          <w:szCs w:val="18"/>
        </w:rPr>
      </w:pPr>
      <w:r>
        <w:rPr>
          <w:rFonts w:ascii="Arial" w:hAnsi="Arial" w:cs="Arial"/>
          <w:bCs/>
          <w:sz w:val="18"/>
          <w:szCs w:val="18"/>
        </w:rPr>
        <w:t>BIBLIOGRAPHY</w:t>
      </w:r>
    </w:p>
    <w:p w14:paraId="1657EC94"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r>
      <w:proofErr w:type="spellStart"/>
      <w:r>
        <w:rPr>
          <w:rFonts w:ascii="Arial" w:hAnsi="Arial" w:cs="Arial"/>
          <w:bCs/>
          <w:sz w:val="18"/>
          <w:szCs w:val="18"/>
        </w:rPr>
        <w:t>Voler</w:t>
      </w:r>
      <w:proofErr w:type="spellEnd"/>
      <w:r>
        <w:rPr>
          <w:rFonts w:ascii="Arial" w:hAnsi="Arial" w:cs="Arial"/>
          <w:bCs/>
          <w:sz w:val="18"/>
          <w:szCs w:val="18"/>
        </w:rPr>
        <w:t xml:space="preserve">, A., J.E. Bidwell, et al.  Manual of clinical immunology. Chapter 69. Rose, N. and Friedman, H. eds.  Am. Soc. </w:t>
      </w:r>
      <w:proofErr w:type="spellStart"/>
      <w:r>
        <w:rPr>
          <w:rFonts w:ascii="Arial" w:hAnsi="Arial" w:cs="Arial"/>
          <w:bCs/>
          <w:sz w:val="18"/>
          <w:szCs w:val="18"/>
        </w:rPr>
        <w:t>Microbiol</w:t>
      </w:r>
      <w:proofErr w:type="spellEnd"/>
      <w:r>
        <w:rPr>
          <w:rFonts w:ascii="Arial" w:hAnsi="Arial" w:cs="Arial"/>
          <w:bCs/>
          <w:sz w:val="18"/>
          <w:szCs w:val="18"/>
        </w:rPr>
        <w:t>. p.506, 1985.</w:t>
      </w:r>
    </w:p>
    <w:p w14:paraId="461B942D"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Cremer, N.E.  Antibodies in serodiagnosis of viral infection.  p. 73.  In Lennett E.H. ed. Laboratory diagnosis of viral infection.  </w:t>
      </w:r>
      <w:proofErr w:type="spellStart"/>
      <w:r>
        <w:rPr>
          <w:rFonts w:ascii="Arial" w:hAnsi="Arial" w:cs="Arial"/>
          <w:bCs/>
          <w:sz w:val="18"/>
          <w:szCs w:val="18"/>
        </w:rPr>
        <w:t>Mercel</w:t>
      </w:r>
      <w:proofErr w:type="spellEnd"/>
      <w:r>
        <w:rPr>
          <w:rFonts w:ascii="Arial" w:hAnsi="Arial" w:cs="Arial"/>
          <w:bCs/>
          <w:sz w:val="18"/>
          <w:szCs w:val="18"/>
        </w:rPr>
        <w:t xml:space="preserve"> Dekker, Inc., New York, 1985.</w:t>
      </w:r>
    </w:p>
    <w:p w14:paraId="2B1054D8"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Starr, S.E. and H.M. Friedman.  "Human CMV." Chapter 65. In Manual of Clin. </w:t>
      </w:r>
      <w:proofErr w:type="spellStart"/>
      <w:r>
        <w:rPr>
          <w:rFonts w:ascii="Arial" w:hAnsi="Arial" w:cs="Arial"/>
          <w:bCs/>
          <w:sz w:val="18"/>
          <w:szCs w:val="18"/>
        </w:rPr>
        <w:t>Microbiol</w:t>
      </w:r>
      <w:proofErr w:type="spellEnd"/>
      <w:r>
        <w:rPr>
          <w:rFonts w:ascii="Arial" w:hAnsi="Arial" w:cs="Arial"/>
          <w:bCs/>
          <w:sz w:val="18"/>
          <w:szCs w:val="18"/>
        </w:rPr>
        <w:t xml:space="preserve">., 4th ed., Lennett, E.H. et al ed.  Am. Soc. </w:t>
      </w:r>
      <w:proofErr w:type="spellStart"/>
      <w:r>
        <w:rPr>
          <w:rFonts w:ascii="Arial" w:hAnsi="Arial" w:cs="Arial"/>
          <w:bCs/>
          <w:sz w:val="18"/>
          <w:szCs w:val="18"/>
        </w:rPr>
        <w:t>Microbiol</w:t>
      </w:r>
      <w:proofErr w:type="spellEnd"/>
      <w:r>
        <w:rPr>
          <w:rFonts w:ascii="Arial" w:hAnsi="Arial" w:cs="Arial"/>
          <w:bCs/>
          <w:sz w:val="18"/>
          <w:szCs w:val="18"/>
        </w:rPr>
        <w:t>. pp.771-719, 1985.</w:t>
      </w:r>
    </w:p>
    <w:p w14:paraId="2C93BBC9" w14:textId="77777777" w:rsidR="001B53A2" w:rsidRDefault="00000000">
      <w:pPr>
        <w:tabs>
          <w:tab w:val="left" w:pos="360"/>
        </w:tabs>
        <w:ind w:left="36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Data on file: Orchid Biomedical Systems (P) Ltd.</w:t>
      </w:r>
    </w:p>
    <w:p w14:paraId="3A97D547" w14:textId="5CB13D2B" w:rsidR="001B53A2" w:rsidRDefault="001B53A2">
      <w:pPr>
        <w:tabs>
          <w:tab w:val="left" w:pos="142"/>
        </w:tabs>
        <w:ind w:left="357"/>
        <w:jc w:val="both"/>
        <w:rPr>
          <w:rFonts w:ascii="Arial" w:hAnsi="Arial" w:cs="Arial"/>
          <w:bCs/>
          <w:sz w:val="18"/>
          <w:szCs w:val="18"/>
        </w:rPr>
      </w:pPr>
    </w:p>
    <w:p w14:paraId="6DDDD4AA" w14:textId="77777777" w:rsidR="001B53A2" w:rsidRDefault="00000000">
      <w:pPr>
        <w:tabs>
          <w:tab w:val="left" w:pos="360"/>
        </w:tabs>
        <w:jc w:val="center"/>
      </w:pPr>
      <w:r>
        <w:object w:dxaOrig="3795" w:dyaOrig="3210" w14:anchorId="31174166">
          <v:shape id="_x0000_i1026" type="#_x0000_t75" style="width:189.75pt;height:160.5pt" o:ole="">
            <v:imagedata r:id="rId9" o:title=""/>
          </v:shape>
          <o:OLEObject Type="Embed" ProgID="CorelDraw.Graphic.23" ShapeID="_x0000_i1026" DrawAspect="Content" ObjectID="_1787472201" r:id="rId10"/>
        </w:object>
      </w:r>
    </w:p>
    <w:p w14:paraId="72346FB9" w14:textId="77777777" w:rsidR="001B53A2" w:rsidRDefault="001B53A2">
      <w:pPr>
        <w:tabs>
          <w:tab w:val="left" w:pos="360"/>
        </w:tabs>
        <w:jc w:val="center"/>
      </w:pPr>
    </w:p>
    <w:p w14:paraId="60AEF0AF" w14:textId="77777777" w:rsidR="001B53A2" w:rsidRDefault="001B53A2">
      <w:pPr>
        <w:tabs>
          <w:tab w:val="left" w:pos="360"/>
        </w:tabs>
        <w:jc w:val="center"/>
      </w:pPr>
    </w:p>
    <w:p w14:paraId="325459BE" w14:textId="77777777" w:rsidR="001B53A2" w:rsidRDefault="001B53A2">
      <w:pPr>
        <w:tabs>
          <w:tab w:val="left" w:pos="360"/>
        </w:tabs>
        <w:jc w:val="center"/>
      </w:pPr>
    </w:p>
    <w:p w14:paraId="6903A4A3" w14:textId="77777777" w:rsidR="001B53A2" w:rsidRDefault="001B53A2">
      <w:pPr>
        <w:tabs>
          <w:tab w:val="left" w:pos="360"/>
        </w:tabs>
        <w:jc w:val="center"/>
      </w:pPr>
    </w:p>
    <w:p w14:paraId="4BD00085" w14:textId="77777777" w:rsidR="001B53A2" w:rsidRDefault="001B53A2">
      <w:pPr>
        <w:tabs>
          <w:tab w:val="left" w:pos="360"/>
        </w:tabs>
        <w:jc w:val="center"/>
      </w:pPr>
    </w:p>
    <w:p w14:paraId="05B0B919" w14:textId="77777777" w:rsidR="001B53A2" w:rsidRDefault="001B53A2">
      <w:pPr>
        <w:tabs>
          <w:tab w:val="left" w:pos="360"/>
        </w:tabs>
        <w:jc w:val="center"/>
      </w:pPr>
    </w:p>
    <w:p w14:paraId="67B9B232" w14:textId="77777777" w:rsidR="001B53A2" w:rsidRDefault="001B53A2">
      <w:pPr>
        <w:tabs>
          <w:tab w:val="left" w:pos="360"/>
        </w:tabs>
        <w:jc w:val="center"/>
      </w:pPr>
    </w:p>
    <w:p w14:paraId="59F61841" w14:textId="77777777" w:rsidR="001B53A2" w:rsidRDefault="001B53A2">
      <w:pPr>
        <w:tabs>
          <w:tab w:val="left" w:pos="360"/>
        </w:tabs>
        <w:jc w:val="center"/>
      </w:pPr>
    </w:p>
    <w:p w14:paraId="510D6BA0" w14:textId="77777777" w:rsidR="001B53A2" w:rsidRDefault="001B53A2">
      <w:pPr>
        <w:tabs>
          <w:tab w:val="left" w:pos="360"/>
        </w:tabs>
        <w:jc w:val="center"/>
      </w:pPr>
    </w:p>
    <w:p w14:paraId="0AE6B631" w14:textId="77777777" w:rsidR="001B53A2" w:rsidRDefault="001B53A2">
      <w:pPr>
        <w:tabs>
          <w:tab w:val="left" w:pos="360"/>
        </w:tabs>
        <w:jc w:val="center"/>
      </w:pPr>
    </w:p>
    <w:p w14:paraId="4FE819D7" w14:textId="77777777" w:rsidR="001B53A2" w:rsidRDefault="001B53A2">
      <w:pPr>
        <w:tabs>
          <w:tab w:val="left" w:pos="360"/>
        </w:tabs>
        <w:jc w:val="center"/>
      </w:pPr>
    </w:p>
    <w:p w14:paraId="1634351C" w14:textId="77777777" w:rsidR="001B53A2" w:rsidRDefault="001B53A2">
      <w:pPr>
        <w:tabs>
          <w:tab w:val="left" w:pos="360"/>
        </w:tabs>
        <w:jc w:val="center"/>
      </w:pPr>
    </w:p>
    <w:p w14:paraId="6BE62B24" w14:textId="77777777" w:rsidR="001B53A2" w:rsidRDefault="001B53A2">
      <w:pPr>
        <w:tabs>
          <w:tab w:val="left" w:pos="360"/>
        </w:tabs>
        <w:jc w:val="center"/>
      </w:pPr>
    </w:p>
    <w:p w14:paraId="7811F837" w14:textId="77777777" w:rsidR="001B53A2" w:rsidRDefault="001B53A2">
      <w:pPr>
        <w:tabs>
          <w:tab w:val="left" w:pos="360"/>
        </w:tabs>
        <w:jc w:val="center"/>
      </w:pPr>
    </w:p>
    <w:p w14:paraId="646C44CC" w14:textId="77777777" w:rsidR="001B53A2" w:rsidRDefault="001B53A2">
      <w:pPr>
        <w:tabs>
          <w:tab w:val="left" w:pos="360"/>
        </w:tabs>
        <w:jc w:val="center"/>
      </w:pPr>
    </w:p>
    <w:p w14:paraId="289838D4" w14:textId="77777777" w:rsidR="001B53A2" w:rsidRDefault="001B53A2">
      <w:pPr>
        <w:tabs>
          <w:tab w:val="left" w:pos="360"/>
        </w:tabs>
        <w:jc w:val="center"/>
      </w:pPr>
    </w:p>
    <w:p w14:paraId="055BC3F7" w14:textId="77777777" w:rsidR="0083603E" w:rsidRDefault="0083603E">
      <w:pPr>
        <w:tabs>
          <w:tab w:val="left" w:pos="360"/>
        </w:tabs>
        <w:jc w:val="center"/>
      </w:pPr>
    </w:p>
    <w:p w14:paraId="3A072C09" w14:textId="77777777" w:rsidR="001B53A2" w:rsidRDefault="001B53A2">
      <w:pPr>
        <w:tabs>
          <w:tab w:val="left" w:pos="360"/>
        </w:tabs>
        <w:jc w:val="center"/>
      </w:pPr>
    </w:p>
    <w:p w14:paraId="40312452" w14:textId="77777777" w:rsidR="001B53A2" w:rsidRDefault="001B53A2">
      <w:pPr>
        <w:tabs>
          <w:tab w:val="left" w:pos="360"/>
        </w:tabs>
        <w:jc w:val="center"/>
      </w:pPr>
    </w:p>
    <w:p w14:paraId="384B2978" w14:textId="0FFA60FD" w:rsidR="001B53A2" w:rsidRDefault="001B53A2">
      <w:pPr>
        <w:tabs>
          <w:tab w:val="left" w:pos="360"/>
        </w:tabs>
        <w:jc w:val="center"/>
      </w:pPr>
    </w:p>
    <w:p w14:paraId="3682A59B" w14:textId="77777777" w:rsidR="001B53A2" w:rsidRDefault="00000000">
      <w:pPr>
        <w:tabs>
          <w:tab w:val="left" w:pos="360"/>
        </w:tabs>
        <w:jc w:val="center"/>
      </w:pPr>
      <w:r>
        <w:object w:dxaOrig="3840" w:dyaOrig="1110" w14:anchorId="5EC5BD0C">
          <v:shape id="_x0000_i1027" type="#_x0000_t75" style="width:192pt;height:55.5pt" o:ole="">
            <v:imagedata r:id="rId11" o:title=""/>
          </v:shape>
          <o:OLEObject Type="Embed" ProgID="CorelDraw.Graphic.23" ShapeID="_x0000_i1027" DrawAspect="Content" ObjectID="_1787472202" r:id="rId12"/>
        </w:object>
      </w:r>
    </w:p>
    <w:p w14:paraId="4D17E9F3" w14:textId="77777777" w:rsidR="001B53A2" w:rsidRDefault="001B53A2">
      <w:pPr>
        <w:tabs>
          <w:tab w:val="left" w:pos="360"/>
        </w:tabs>
        <w:jc w:val="center"/>
      </w:pPr>
    </w:p>
    <w:p w14:paraId="2976E36C" w14:textId="77777777" w:rsidR="001B53A2" w:rsidRDefault="001B53A2">
      <w:pPr>
        <w:tabs>
          <w:tab w:val="left" w:pos="360"/>
        </w:tabs>
        <w:jc w:val="center"/>
      </w:pPr>
    </w:p>
    <w:p w14:paraId="50FF7F66" w14:textId="77777777" w:rsidR="001B53A2" w:rsidRDefault="001B53A2">
      <w:pPr>
        <w:tabs>
          <w:tab w:val="left" w:pos="360"/>
        </w:tabs>
        <w:jc w:val="center"/>
      </w:pPr>
    </w:p>
    <w:p w14:paraId="25ABF0E4" w14:textId="77777777" w:rsidR="001B53A2" w:rsidRDefault="001B53A2">
      <w:pPr>
        <w:tabs>
          <w:tab w:val="left" w:pos="360"/>
        </w:tabs>
        <w:jc w:val="center"/>
        <w:rPr>
          <w:rFonts w:ascii="Arial" w:hAnsi="Arial" w:cs="Arial"/>
          <w:i/>
          <w:sz w:val="14"/>
          <w:szCs w:val="18"/>
        </w:rPr>
      </w:pPr>
    </w:p>
    <w:p w14:paraId="50452070" w14:textId="46E4DB38" w:rsidR="001B53A2" w:rsidRDefault="001B53A2">
      <w:pPr>
        <w:tabs>
          <w:tab w:val="left" w:pos="360"/>
        </w:tabs>
        <w:jc w:val="center"/>
        <w:rPr>
          <w:rFonts w:ascii="Arial" w:hAnsi="Arial" w:cs="Arial"/>
          <w:i/>
          <w:sz w:val="14"/>
          <w:szCs w:val="18"/>
        </w:rPr>
      </w:pPr>
    </w:p>
    <w:sectPr w:rsidR="001B53A2">
      <w:headerReference w:type="even" r:id="rId13"/>
      <w:headerReference w:type="default" r:id="rId14"/>
      <w:footerReference w:type="even" r:id="rId15"/>
      <w:footerReference w:type="default" r:id="rId16"/>
      <w:headerReference w:type="first" r:id="rId17"/>
      <w:footerReference w:type="first" r:id="rId18"/>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78EBC6" w14:textId="77777777" w:rsidR="00921032" w:rsidRDefault="00921032">
      <w:r>
        <w:separator/>
      </w:r>
    </w:p>
  </w:endnote>
  <w:endnote w:type="continuationSeparator" w:id="0">
    <w:p w14:paraId="5FDC9B08" w14:textId="77777777" w:rsidR="00921032" w:rsidRDefault="00921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FD5D7B" w14:textId="77777777" w:rsidR="001B53A2" w:rsidRDefault="001B53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7E3BA6" w14:textId="77777777" w:rsidR="001B53A2"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AA7D5C" w14:textId="77777777" w:rsidR="001B53A2" w:rsidRDefault="001B53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E95632" w14:textId="77777777" w:rsidR="00921032" w:rsidRDefault="00921032">
      <w:r>
        <w:separator/>
      </w:r>
    </w:p>
  </w:footnote>
  <w:footnote w:type="continuationSeparator" w:id="0">
    <w:p w14:paraId="7CDF9754" w14:textId="77777777" w:rsidR="00921032" w:rsidRDefault="009210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58F18" w14:textId="77777777" w:rsidR="001B53A2" w:rsidRDefault="001B53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124DBB" w14:textId="77777777" w:rsidR="001B53A2" w:rsidRDefault="001B53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8521DE" w14:textId="77777777" w:rsidR="001B53A2" w:rsidRDefault="001B53A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65081"/>
    <w:rsid w:val="000A3B42"/>
    <w:rsid w:val="000B0CEA"/>
    <w:rsid w:val="000B4CEE"/>
    <w:rsid w:val="000E17FF"/>
    <w:rsid w:val="000F2C37"/>
    <w:rsid w:val="001214F1"/>
    <w:rsid w:val="00131B4D"/>
    <w:rsid w:val="00145216"/>
    <w:rsid w:val="00152295"/>
    <w:rsid w:val="00170243"/>
    <w:rsid w:val="00171DEA"/>
    <w:rsid w:val="00193C54"/>
    <w:rsid w:val="001A2E93"/>
    <w:rsid w:val="001B50AD"/>
    <w:rsid w:val="001B53A2"/>
    <w:rsid w:val="001C1DF0"/>
    <w:rsid w:val="001C2CA2"/>
    <w:rsid w:val="001D0CB0"/>
    <w:rsid w:val="001D687F"/>
    <w:rsid w:val="001F1DD0"/>
    <w:rsid w:val="001F2373"/>
    <w:rsid w:val="001F2F45"/>
    <w:rsid w:val="001F344E"/>
    <w:rsid w:val="001F5730"/>
    <w:rsid w:val="001F7924"/>
    <w:rsid w:val="00203F09"/>
    <w:rsid w:val="002329EF"/>
    <w:rsid w:val="002412B6"/>
    <w:rsid w:val="002A021A"/>
    <w:rsid w:val="002D1DE3"/>
    <w:rsid w:val="002E491C"/>
    <w:rsid w:val="0030216B"/>
    <w:rsid w:val="003148C8"/>
    <w:rsid w:val="003447F8"/>
    <w:rsid w:val="00367BE0"/>
    <w:rsid w:val="00373D7A"/>
    <w:rsid w:val="003C2AD4"/>
    <w:rsid w:val="003C6025"/>
    <w:rsid w:val="00415F51"/>
    <w:rsid w:val="004569D5"/>
    <w:rsid w:val="00475744"/>
    <w:rsid w:val="00490520"/>
    <w:rsid w:val="004A017D"/>
    <w:rsid w:val="004A749E"/>
    <w:rsid w:val="004C0E82"/>
    <w:rsid w:val="00580FE2"/>
    <w:rsid w:val="005967F3"/>
    <w:rsid w:val="005B47DA"/>
    <w:rsid w:val="00690FA0"/>
    <w:rsid w:val="00691AF2"/>
    <w:rsid w:val="0069319B"/>
    <w:rsid w:val="006B68A2"/>
    <w:rsid w:val="006E51E2"/>
    <w:rsid w:val="006F1917"/>
    <w:rsid w:val="007417BA"/>
    <w:rsid w:val="007709B4"/>
    <w:rsid w:val="007743C8"/>
    <w:rsid w:val="007846E1"/>
    <w:rsid w:val="0080477D"/>
    <w:rsid w:val="00807308"/>
    <w:rsid w:val="008131CD"/>
    <w:rsid w:val="0083603E"/>
    <w:rsid w:val="0086479E"/>
    <w:rsid w:val="00880D76"/>
    <w:rsid w:val="008E507D"/>
    <w:rsid w:val="00921032"/>
    <w:rsid w:val="00922C13"/>
    <w:rsid w:val="009271F7"/>
    <w:rsid w:val="0093184E"/>
    <w:rsid w:val="00977D2B"/>
    <w:rsid w:val="00980B52"/>
    <w:rsid w:val="00991FA3"/>
    <w:rsid w:val="00993132"/>
    <w:rsid w:val="00994741"/>
    <w:rsid w:val="00997C8D"/>
    <w:rsid w:val="009A35AC"/>
    <w:rsid w:val="009E32C1"/>
    <w:rsid w:val="00A175D1"/>
    <w:rsid w:val="00A339AD"/>
    <w:rsid w:val="00A55405"/>
    <w:rsid w:val="00A70C11"/>
    <w:rsid w:val="00A74AA9"/>
    <w:rsid w:val="00AC16E8"/>
    <w:rsid w:val="00AE5B3B"/>
    <w:rsid w:val="00AE7ED6"/>
    <w:rsid w:val="00AF6A29"/>
    <w:rsid w:val="00B141ED"/>
    <w:rsid w:val="00BB694F"/>
    <w:rsid w:val="00BE3603"/>
    <w:rsid w:val="00BE437E"/>
    <w:rsid w:val="00C1011F"/>
    <w:rsid w:val="00C37A29"/>
    <w:rsid w:val="00C4489E"/>
    <w:rsid w:val="00C62BF6"/>
    <w:rsid w:val="00C765E7"/>
    <w:rsid w:val="00CA674C"/>
    <w:rsid w:val="00CB7351"/>
    <w:rsid w:val="00CC1C17"/>
    <w:rsid w:val="00CE33A1"/>
    <w:rsid w:val="00CF4C14"/>
    <w:rsid w:val="00D72C8C"/>
    <w:rsid w:val="00D740F5"/>
    <w:rsid w:val="00D86CBB"/>
    <w:rsid w:val="00DA500C"/>
    <w:rsid w:val="00E25627"/>
    <w:rsid w:val="00E2719F"/>
    <w:rsid w:val="00E64CBE"/>
    <w:rsid w:val="00E67E07"/>
    <w:rsid w:val="00E73CF2"/>
    <w:rsid w:val="00E82464"/>
    <w:rsid w:val="00E90966"/>
    <w:rsid w:val="00EB4AFD"/>
    <w:rsid w:val="00EB550C"/>
    <w:rsid w:val="00EE0E53"/>
    <w:rsid w:val="00F012BA"/>
    <w:rsid w:val="00F109BB"/>
    <w:rsid w:val="00F15018"/>
    <w:rsid w:val="00F74F7B"/>
    <w:rsid w:val="00F818A7"/>
    <w:rsid w:val="00F92675"/>
    <w:rsid w:val="00FC3676"/>
    <w:rsid w:val="00FD3AA9"/>
    <w:rsid w:val="086B4BD9"/>
    <w:rsid w:val="0F701F63"/>
    <w:rsid w:val="13876DA8"/>
    <w:rsid w:val="26887B86"/>
    <w:rsid w:val="26DE7B9C"/>
    <w:rsid w:val="2A6A09AF"/>
    <w:rsid w:val="3A6F00EE"/>
    <w:rsid w:val="590705D1"/>
    <w:rsid w:val="6824679C"/>
    <w:rsid w:val="6AC95DC2"/>
    <w:rsid w:val="783720CB"/>
    <w:rsid w:val="7A993B24"/>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459FFC4"/>
  <w15:docId w15:val="{136A5547-642D-4512-9795-1926E72E0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qFormat/>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1683</Words>
  <Characters>9597</Characters>
  <Application>Microsoft Office Word</Application>
  <DocSecurity>0</DocSecurity>
  <Lines>79</Lines>
  <Paragraphs>22</Paragraphs>
  <ScaleCrop>false</ScaleCrop>
  <Company>E&amp;E Labs, Inc.</Company>
  <LinksUpToDate>false</LinksUpToDate>
  <CharactersWithSpaces>11258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20</cp:revision>
  <cp:lastPrinted>2008-08-26T11:33:00Z</cp:lastPrinted>
  <dcterms:created xsi:type="dcterms:W3CDTF">2024-08-01T07:51:00Z</dcterms:created>
  <dcterms:modified xsi:type="dcterms:W3CDTF">2024-09-10T05:47:00Z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558D4804FA104E53A68CB1F4523D2F0B_12</vt:lpwstr>
  </property>
</Properties>
</file>