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8EF334" w14:textId="77777777" w:rsidR="009C6DFA"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166EDA56" wp14:editId="35BAC4D3">
                <wp:simplePos x="0" y="0"/>
                <wp:positionH relativeFrom="column">
                  <wp:posOffset>91440</wp:posOffset>
                </wp:positionH>
                <wp:positionV relativeFrom="paragraph">
                  <wp:posOffset>0</wp:posOffset>
                </wp:positionV>
                <wp:extent cx="2651760" cy="791210"/>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791210"/>
                        </a:xfrm>
                        <a:prstGeom prst="rect">
                          <a:avLst/>
                        </a:prstGeom>
                        <a:noFill/>
                        <a:ln>
                          <a:noFill/>
                        </a:ln>
                        <a:effectLst/>
                      </wps:spPr>
                      <wps:txbx>
                        <w:txbxContent>
                          <w:p w14:paraId="5FADA55A" w14:textId="77777777" w:rsidR="009C6DFA" w:rsidRDefault="00000000">
                            <w:pPr>
                              <w:jc w:val="center"/>
                              <w:rPr>
                                <w:rFonts w:ascii="Bookman Old Style" w:hAnsi="Bookman Old Style"/>
                                <w:b/>
                                <w:sz w:val="24"/>
                              </w:rPr>
                            </w:pPr>
                            <w:r>
                              <w:rPr>
                                <w:rFonts w:ascii="Bookman Old Style" w:hAnsi="Bookman Old Style"/>
                                <w:b/>
                                <w:sz w:val="24"/>
                              </w:rPr>
                              <w:t>C-Peptide</w:t>
                            </w:r>
                          </w:p>
                          <w:p w14:paraId="23AD485C" w14:textId="77777777" w:rsidR="009C6DFA" w:rsidRDefault="00000000">
                            <w:pPr>
                              <w:jc w:val="center"/>
                              <w:rPr>
                                <w:rFonts w:ascii="Bookman Old Style" w:hAnsi="Bookman Old Style"/>
                                <w:b/>
                                <w:sz w:val="24"/>
                              </w:rPr>
                            </w:pPr>
                            <w:r>
                              <w:rPr>
                                <w:rFonts w:ascii="Bookman Old Style" w:hAnsi="Bookman Old Style"/>
                                <w:b/>
                                <w:sz w:val="24"/>
                              </w:rPr>
                              <w:t xml:space="preserve">ENZYME IMMUNOASSAY </w:t>
                            </w:r>
                          </w:p>
                          <w:p w14:paraId="49BDC305" w14:textId="77777777" w:rsidR="009C6DFA" w:rsidRDefault="00000000">
                            <w:pPr>
                              <w:jc w:val="center"/>
                              <w:rPr>
                                <w:rFonts w:ascii="Bookman Old Style" w:hAnsi="Bookman Old Style"/>
                                <w:b/>
                                <w:sz w:val="24"/>
                              </w:rPr>
                            </w:pPr>
                            <w:r>
                              <w:rPr>
                                <w:rFonts w:ascii="Bookman Old Style" w:hAnsi="Bookman Old Style"/>
                                <w:b/>
                                <w:sz w:val="24"/>
                              </w:rPr>
                              <w:t>TEST KIT</w:t>
                            </w:r>
                          </w:p>
                          <w:p w14:paraId="0FEF693E" w14:textId="77777777" w:rsidR="009C6DFA" w:rsidRDefault="009C6DFA">
                            <w:pPr>
                              <w:jc w:val="center"/>
                              <w:rPr>
                                <w:b/>
                                <w:sz w:val="28"/>
                              </w:rPr>
                            </w:pPr>
                          </w:p>
                        </w:txbxContent>
                      </wps:txbx>
                      <wps:bodyPr rot="0" vert="horz" wrap="square" lIns="12700" tIns="12700" rIns="12700" bIns="12700" anchor="t" anchorCtr="0" upright="1">
                        <a:noAutofit/>
                      </wps:bodyPr>
                    </wps:wsp>
                  </a:graphicData>
                </a:graphic>
              </wp:anchor>
            </w:drawing>
          </mc:Choice>
          <mc:Fallback xmlns:wpsCustomData="http://www.wps.cn/officeDocument/2013/wpsCustomData">
            <w:pict>
              <v:rect id="Rectangle 2" o:spid="_x0000_s1026" o:spt="1" style="position:absolute;left:0pt;margin-left:7.2pt;margin-top:0pt;height:62.3pt;width:208.8pt;z-index:251659264;mso-width-relative:page;mso-height-relative:page;" filled="f" stroked="f" coordsize="21600,21600" o:allowincell="f" o:gfxdata="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mOyCNQAAAAHAQAADwAAAAAAAAABACAAAAAiAAAAZHJz&#10;L2Rvd25yZXYueG1sUEsBAhQAFAAAAAgAh07iQKAKGiwIAgAAIgQAAA4AAAAAAAAAAQAgAAAAIwEA&#10;AGRycy9lMm9Eb2MueG1sUEsFBgAAAAAGAAYAWQEAAJ0FAAAAAA==&#10;">
                <v:fill on="f" focussize="0,0"/>
                <v:stroke on="f"/>
                <v:imagedata o:title=""/>
                <o:lock v:ext="edit" aspectratio="f"/>
                <v:textbox inset="1pt,1pt,1pt,1pt">
                  <w:txbxContent>
                    <w:p w14:paraId="6C6AFE56">
                      <w:pPr>
                        <w:jc w:val="center"/>
                        <w:rPr>
                          <w:rFonts w:ascii="Bookman Old Style" w:hAnsi="Bookman Old Style"/>
                          <w:b/>
                          <w:sz w:val="24"/>
                        </w:rPr>
                      </w:pPr>
                      <w:r>
                        <w:rPr>
                          <w:rFonts w:ascii="Bookman Old Style" w:hAnsi="Bookman Old Style"/>
                          <w:b/>
                          <w:sz w:val="24"/>
                        </w:rPr>
                        <w:t>C-Peptide</w:t>
                      </w:r>
                    </w:p>
                    <w:p w14:paraId="52E12930">
                      <w:pPr>
                        <w:jc w:val="center"/>
                        <w:rPr>
                          <w:rFonts w:ascii="Bookman Old Style" w:hAnsi="Bookman Old Style"/>
                          <w:b/>
                          <w:sz w:val="24"/>
                        </w:rPr>
                      </w:pPr>
                      <w:r>
                        <w:rPr>
                          <w:rFonts w:ascii="Bookman Old Style" w:hAnsi="Bookman Old Style"/>
                          <w:b/>
                          <w:sz w:val="24"/>
                        </w:rPr>
                        <w:t xml:space="preserve">ENZYME IMMUNOASSAY </w:t>
                      </w:r>
                    </w:p>
                    <w:p w14:paraId="22F5F1ED">
                      <w:pPr>
                        <w:jc w:val="center"/>
                        <w:rPr>
                          <w:rFonts w:ascii="Bookman Old Style" w:hAnsi="Bookman Old Style"/>
                          <w:b/>
                          <w:sz w:val="24"/>
                        </w:rPr>
                      </w:pPr>
                      <w:r>
                        <w:rPr>
                          <w:rFonts w:ascii="Bookman Old Style" w:hAnsi="Bookman Old Style"/>
                          <w:b/>
                          <w:sz w:val="24"/>
                        </w:rPr>
                        <w:t>TEST KIT</w:t>
                      </w:r>
                    </w:p>
                    <w:p w14:paraId="504EE29E">
                      <w:pPr>
                        <w:jc w:val="center"/>
                        <w:rPr>
                          <w:b/>
                          <w:sz w:val="28"/>
                        </w:rPr>
                      </w:pPr>
                    </w:p>
                  </w:txbxContent>
                </v:textbox>
              </v:rect>
            </w:pict>
          </mc:Fallback>
        </mc:AlternateContent>
      </w:r>
    </w:p>
    <w:p w14:paraId="3014DF38" w14:textId="77777777" w:rsidR="009C6DFA" w:rsidRDefault="009C6DFA">
      <w:pPr>
        <w:rPr>
          <w:sz w:val="24"/>
        </w:rPr>
      </w:pPr>
    </w:p>
    <w:p w14:paraId="2BC42C34" w14:textId="77777777" w:rsidR="009C6DFA" w:rsidRDefault="009C6DFA">
      <w:pPr>
        <w:rPr>
          <w:sz w:val="24"/>
        </w:rPr>
      </w:pPr>
    </w:p>
    <w:p w14:paraId="1FE09DF6" w14:textId="77777777" w:rsidR="009C6DFA" w:rsidRDefault="009C6DFA">
      <w:pPr>
        <w:tabs>
          <w:tab w:val="left" w:pos="360"/>
        </w:tabs>
        <w:jc w:val="center"/>
        <w:rPr>
          <w:rFonts w:ascii="Arial" w:hAnsi="Arial" w:cs="Arial"/>
          <w:b/>
        </w:rPr>
      </w:pPr>
    </w:p>
    <w:p w14:paraId="07189C65" w14:textId="77777777" w:rsidR="009C6DFA" w:rsidRDefault="009C6DFA">
      <w:pPr>
        <w:tabs>
          <w:tab w:val="left" w:pos="360"/>
        </w:tabs>
        <w:jc w:val="center"/>
        <w:rPr>
          <w:rFonts w:ascii="Arial" w:hAnsi="Arial" w:cs="Arial"/>
          <w:b/>
        </w:rPr>
      </w:pPr>
    </w:p>
    <w:p w14:paraId="563480BE" w14:textId="77777777" w:rsidR="009C6DFA" w:rsidRDefault="00000000">
      <w:pPr>
        <w:tabs>
          <w:tab w:val="left" w:pos="360"/>
        </w:tabs>
        <w:jc w:val="center"/>
        <w:rPr>
          <w:rFonts w:ascii="Arial" w:hAnsi="Arial" w:cs="Arial"/>
          <w:b/>
        </w:rPr>
      </w:pPr>
      <w:r>
        <w:rPr>
          <w:rFonts w:ascii="Arial" w:hAnsi="Arial" w:cs="Arial"/>
          <w:b/>
        </w:rPr>
        <w:t>Enzyme Linked Immunosorbent Assay (ELISA) for Quantitative Determination of Circulating C-Peptide Concentrations in Human Serum</w:t>
      </w:r>
    </w:p>
    <w:p w14:paraId="373BDFC0" w14:textId="77777777" w:rsidR="009C6DFA" w:rsidRDefault="009C6DFA">
      <w:pPr>
        <w:tabs>
          <w:tab w:val="left" w:pos="360"/>
        </w:tabs>
        <w:jc w:val="center"/>
        <w:rPr>
          <w:rFonts w:ascii="Arial" w:hAnsi="Arial" w:cs="Arial"/>
          <w:b/>
        </w:rPr>
      </w:pPr>
    </w:p>
    <w:p w14:paraId="0F03A3B7" w14:textId="77777777" w:rsidR="009C6DFA" w:rsidRDefault="00000000">
      <w:pPr>
        <w:tabs>
          <w:tab w:val="left" w:pos="360"/>
        </w:tabs>
        <w:jc w:val="center"/>
        <w:rPr>
          <w:rFonts w:ascii="Arial" w:hAnsi="Arial" w:cs="Arial"/>
          <w:b/>
        </w:rPr>
      </w:pPr>
      <w:r>
        <w:rPr>
          <w:rFonts w:ascii="Arial" w:hAnsi="Arial" w:cs="Arial"/>
          <w:b/>
        </w:rPr>
        <w:t>FOR IN VITRO DIAGNOSTIC USE ONLY</w:t>
      </w:r>
    </w:p>
    <w:p w14:paraId="19AC6A97" w14:textId="77777777" w:rsidR="009C6DFA" w:rsidRDefault="00000000">
      <w:pPr>
        <w:tabs>
          <w:tab w:val="left" w:pos="360"/>
        </w:tabs>
        <w:jc w:val="center"/>
        <w:rPr>
          <w:rFonts w:ascii="Arial" w:hAnsi="Arial" w:cs="Arial"/>
          <w:b/>
        </w:rPr>
      </w:pPr>
      <w:r>
        <w:rPr>
          <w:rFonts w:ascii="Arial" w:hAnsi="Arial" w:cs="Arial"/>
          <w:b/>
        </w:rPr>
        <w:t>Store at 2°C to 8°C</w:t>
      </w:r>
    </w:p>
    <w:p w14:paraId="0681E4CC" w14:textId="77777777" w:rsidR="009C6DFA" w:rsidRDefault="009C6DFA">
      <w:pPr>
        <w:tabs>
          <w:tab w:val="left" w:pos="360"/>
        </w:tabs>
        <w:rPr>
          <w:rFonts w:ascii="Arial" w:hAnsi="Arial" w:cs="Arial"/>
          <w:b/>
          <w:sz w:val="18"/>
          <w:szCs w:val="18"/>
        </w:rPr>
      </w:pPr>
    </w:p>
    <w:p w14:paraId="40331397" w14:textId="77777777" w:rsidR="009C6DFA" w:rsidRDefault="009C6DFA">
      <w:pPr>
        <w:tabs>
          <w:tab w:val="left" w:pos="360"/>
        </w:tabs>
        <w:jc w:val="both"/>
        <w:rPr>
          <w:rFonts w:ascii="Arial" w:hAnsi="Arial" w:cs="Arial"/>
          <w:bCs/>
          <w:sz w:val="18"/>
          <w:szCs w:val="18"/>
        </w:rPr>
      </w:pPr>
    </w:p>
    <w:p w14:paraId="02836B84" w14:textId="77777777" w:rsidR="009C6DFA" w:rsidRDefault="009C6DFA">
      <w:pPr>
        <w:tabs>
          <w:tab w:val="left" w:pos="360"/>
        </w:tabs>
        <w:ind w:left="426"/>
        <w:jc w:val="both"/>
        <w:rPr>
          <w:rFonts w:ascii="Arial" w:hAnsi="Arial" w:cs="Arial"/>
          <w:bCs/>
          <w:sz w:val="18"/>
          <w:szCs w:val="18"/>
        </w:rPr>
      </w:pPr>
    </w:p>
    <w:p w14:paraId="06C04A66" w14:textId="77777777" w:rsidR="009C6DFA" w:rsidRDefault="00000000">
      <w:pPr>
        <w:tabs>
          <w:tab w:val="left" w:pos="360"/>
        </w:tabs>
        <w:ind w:left="720" w:hanging="294"/>
        <w:jc w:val="both"/>
        <w:rPr>
          <w:rFonts w:ascii="Arial" w:hAnsi="Arial" w:cs="Arial"/>
          <w:bCs/>
          <w:sz w:val="18"/>
          <w:szCs w:val="18"/>
        </w:rPr>
      </w:pPr>
      <w:r>
        <w:rPr>
          <w:rFonts w:ascii="Arial" w:hAnsi="Arial" w:cs="Arial"/>
          <w:bCs/>
          <w:sz w:val="18"/>
          <w:szCs w:val="18"/>
        </w:rPr>
        <w:t xml:space="preserve">INTENDED USE </w:t>
      </w:r>
    </w:p>
    <w:p w14:paraId="19F2DB50" w14:textId="77777777" w:rsidR="009C6DFA" w:rsidRDefault="00000000">
      <w:pPr>
        <w:ind w:left="426"/>
        <w:jc w:val="both"/>
        <w:rPr>
          <w:rFonts w:ascii="Arial" w:hAnsi="Arial" w:cs="Arial"/>
          <w:bCs/>
          <w:sz w:val="18"/>
          <w:szCs w:val="18"/>
        </w:rPr>
      </w:pPr>
      <w:r>
        <w:rPr>
          <w:rFonts w:ascii="Arial" w:hAnsi="Arial" w:cs="Arial"/>
          <w:bCs/>
          <w:sz w:val="18"/>
          <w:szCs w:val="18"/>
        </w:rPr>
        <w:t>C-Peptide test is intended for the Quantitative Determination of Circulating C-Peptide Concentrations in Human Serum. For In Vitro Diagnostic Use Only</w:t>
      </w:r>
    </w:p>
    <w:p w14:paraId="14D455A3" w14:textId="77777777" w:rsidR="009C6DFA" w:rsidRDefault="009C6DFA">
      <w:pPr>
        <w:tabs>
          <w:tab w:val="left" w:pos="360"/>
        </w:tabs>
        <w:ind w:left="426" w:hanging="66"/>
        <w:jc w:val="both"/>
        <w:rPr>
          <w:rFonts w:ascii="Arial" w:hAnsi="Arial" w:cs="Arial"/>
          <w:bCs/>
          <w:sz w:val="18"/>
          <w:szCs w:val="18"/>
        </w:rPr>
      </w:pPr>
    </w:p>
    <w:p w14:paraId="30E600AE" w14:textId="77777777" w:rsidR="009C6DFA" w:rsidRDefault="00000000">
      <w:pPr>
        <w:tabs>
          <w:tab w:val="left" w:pos="360"/>
        </w:tabs>
        <w:ind w:left="426" w:hanging="66"/>
        <w:jc w:val="both"/>
        <w:rPr>
          <w:rFonts w:ascii="Arial" w:hAnsi="Arial" w:cs="Arial"/>
          <w:bCs/>
          <w:sz w:val="18"/>
          <w:szCs w:val="18"/>
        </w:rPr>
      </w:pPr>
      <w:r>
        <w:rPr>
          <w:rFonts w:ascii="Arial" w:hAnsi="Arial" w:cs="Arial"/>
          <w:bCs/>
          <w:sz w:val="18"/>
          <w:szCs w:val="18"/>
        </w:rPr>
        <w:t xml:space="preserve"> INTRODUCTION</w:t>
      </w:r>
    </w:p>
    <w:p w14:paraId="02B4E6B9" w14:textId="77777777" w:rsidR="009C6DFA" w:rsidRDefault="00000000">
      <w:pPr>
        <w:tabs>
          <w:tab w:val="left" w:pos="360"/>
        </w:tabs>
        <w:ind w:leftChars="213" w:left="426"/>
        <w:jc w:val="both"/>
        <w:rPr>
          <w:rFonts w:ascii="Arial" w:hAnsi="Arial" w:cs="Arial"/>
          <w:bCs/>
          <w:sz w:val="18"/>
          <w:szCs w:val="18"/>
        </w:rPr>
      </w:pPr>
      <w:r>
        <w:rPr>
          <w:rFonts w:ascii="Arial" w:hAnsi="Arial" w:cs="Arial"/>
          <w:bCs/>
          <w:sz w:val="18"/>
          <w:szCs w:val="18"/>
        </w:rPr>
        <w:t xml:space="preserve">Diabetes is one of the leading causes of disability and death in the U.S. It affects an estimated 16 million Americans, about one third of them do not even know they have the disease. The causes of diabetes are not precisely known, but both genetic and environmental factors </w:t>
      </w:r>
      <w:proofErr w:type="gramStart"/>
      <w:r>
        <w:rPr>
          <w:rFonts w:ascii="Arial" w:hAnsi="Arial" w:cs="Arial"/>
          <w:bCs/>
          <w:sz w:val="18"/>
          <w:szCs w:val="18"/>
        </w:rPr>
        <w:t>plays</w:t>
      </w:r>
      <w:proofErr w:type="gramEnd"/>
      <w:r>
        <w:rPr>
          <w:rFonts w:ascii="Arial" w:hAnsi="Arial" w:cs="Arial"/>
          <w:bCs/>
          <w:sz w:val="18"/>
          <w:szCs w:val="18"/>
        </w:rPr>
        <w:t xml:space="preserve"> significant roles. The disease is marked by deficiencies in the body's ability to produce and properly use insulin. The most common forms of diabetes are type 1, in which the body's ability to produce insulin is destroyed, and type 2, in which the body is resistant to insulin even though some amount of insulin may be produced. In-vitro determination of insulin and C-Peptide levels help in the differential diagnosis of liver disease, acromegaly, Cushing's syndrome, familial glucose intolerance, insulinoma, renal failure, ingestion of accidental oral hypoglycemic drugs or insulin induced factitious hypoglycemia. Both insulin and C-Peptide are produced by enzymatic cleavage of proinsulin. Proinsulin is stored in the secretory granules of pancreatic β-cells and is split into a 31 amino acid connecting peptide (C-Peptide; MW 3600) and insulin (MW 6000). C-Peptide is devoid of any biological activity but appears to be necessary to maintain the structural integrity of insulin. Although insulin and C-Peptide are secreted into portal circulation in equimolar concentrations, fasting </w:t>
      </w:r>
      <w:r>
        <w:rPr>
          <w:rFonts w:ascii="Arial" w:hAnsi="Arial" w:cs="Arial"/>
          <w:bCs/>
          <w:sz w:val="18"/>
          <w:szCs w:val="18"/>
        </w:rPr>
        <w:t xml:space="preserve">levels of C-Peptide are </w:t>
      </w:r>
      <w:proofErr w:type="gramStart"/>
      <w:r>
        <w:rPr>
          <w:rFonts w:ascii="Arial" w:hAnsi="Arial" w:cs="Arial"/>
          <w:bCs/>
          <w:sz w:val="18"/>
          <w:szCs w:val="18"/>
        </w:rPr>
        <w:t>5-10 fold</w:t>
      </w:r>
      <w:proofErr w:type="gramEnd"/>
      <w:r>
        <w:rPr>
          <w:rFonts w:ascii="Arial" w:hAnsi="Arial" w:cs="Arial"/>
          <w:bCs/>
          <w:sz w:val="18"/>
          <w:szCs w:val="18"/>
        </w:rPr>
        <w:t xml:space="preserve"> higher than those of insulin owing to the longer half-life of C-Peptide. The liver does not extract C-</w:t>
      </w:r>
      <w:proofErr w:type="gramStart"/>
      <w:r>
        <w:rPr>
          <w:rFonts w:ascii="Arial" w:hAnsi="Arial" w:cs="Arial"/>
          <w:bCs/>
          <w:sz w:val="18"/>
          <w:szCs w:val="18"/>
        </w:rPr>
        <w:t>Peptide however;</w:t>
      </w:r>
      <w:proofErr w:type="gramEnd"/>
      <w:r>
        <w:rPr>
          <w:rFonts w:ascii="Arial" w:hAnsi="Arial" w:cs="Arial"/>
          <w:bCs/>
          <w:sz w:val="18"/>
          <w:szCs w:val="18"/>
        </w:rPr>
        <w:t xml:space="preserve"> it is removed from the circulation by degradation in the kidneys with a fraction passing out unchanged in urine. Hence urine C-Peptide levels correlate well with fasting C-Peptide levels in serum. The glucagon stimulated C-Peptide determination is often used for differential diagnosis of insulin-dependent from non-insulin-dependent diabetic patients.</w:t>
      </w:r>
    </w:p>
    <w:p w14:paraId="7103F852" w14:textId="77777777" w:rsidR="009C6DFA" w:rsidRDefault="009C6DFA">
      <w:pPr>
        <w:tabs>
          <w:tab w:val="left" w:pos="360"/>
        </w:tabs>
        <w:ind w:left="426" w:hanging="66"/>
        <w:jc w:val="both"/>
        <w:rPr>
          <w:rFonts w:ascii="Arial" w:hAnsi="Arial" w:cs="Arial"/>
          <w:bCs/>
          <w:sz w:val="18"/>
          <w:szCs w:val="18"/>
        </w:rPr>
      </w:pPr>
    </w:p>
    <w:p w14:paraId="405A5153" w14:textId="77777777" w:rsidR="009C6DF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 PRINCIPLE OF THE ASSAY</w:t>
      </w:r>
    </w:p>
    <w:p w14:paraId="63EEA2C2" w14:textId="77777777" w:rsidR="009C6DFA" w:rsidRDefault="00000000">
      <w:pPr>
        <w:tabs>
          <w:tab w:val="left" w:pos="426"/>
        </w:tabs>
        <w:ind w:left="426"/>
        <w:jc w:val="both"/>
        <w:rPr>
          <w:rFonts w:ascii="Arial" w:hAnsi="Arial" w:cs="Arial"/>
          <w:bCs/>
          <w:sz w:val="18"/>
          <w:szCs w:val="18"/>
        </w:rPr>
      </w:pPr>
      <w:r>
        <w:rPr>
          <w:rFonts w:ascii="Arial" w:hAnsi="Arial" w:cs="Arial"/>
          <w:bCs/>
          <w:sz w:val="18"/>
          <w:szCs w:val="18"/>
        </w:rPr>
        <w:t xml:space="preserve">C-Peptide Quantitative Test Kit is based on a solid phase enzyme-linked immunosorbent assay. The assay system utilizes one anti-C-Peptide antibody for solid phase (microtiter wells) immobilization and another anti-C-Peptide antibody in the antibody-enzyme (horseradish peroxidase) conjugate solution. The standards and test specimen (serum) are added to the C-Peptide antibody coated microtiter wells. Then anti-C-Peptide antibody labeled with horseradish peroxidase (conjugate) is added. If human C-Peptide is present in the specimen, it will combine with the antibody on the well and the enzyme conjugate resulting in the C-Peptide molecules being sandwiched between the solid phase and enzyme-linked antibodies. After incubation, the wells are washed &amp; bound enzyme is detected by adding substrate. The reaction is stopped after specified time with stop solution and absorbance is determined for each well using an ELISA reader. The concentration of C-Peptide is directly proportional to the color intensity of the test sample. </w:t>
      </w:r>
    </w:p>
    <w:p w14:paraId="54E6E2DD" w14:textId="77777777" w:rsidR="009C6DFA" w:rsidRDefault="009C6DFA">
      <w:pPr>
        <w:tabs>
          <w:tab w:val="left" w:pos="426"/>
        </w:tabs>
        <w:ind w:left="426"/>
        <w:jc w:val="both"/>
        <w:rPr>
          <w:rFonts w:ascii="Arial" w:hAnsi="Arial" w:cs="Arial"/>
          <w:bCs/>
          <w:sz w:val="18"/>
          <w:szCs w:val="18"/>
        </w:rPr>
      </w:pPr>
    </w:p>
    <w:p w14:paraId="389A11D3" w14:textId="77777777" w:rsidR="009C6DFA" w:rsidRDefault="00000000">
      <w:pPr>
        <w:tabs>
          <w:tab w:val="left" w:pos="426"/>
        </w:tabs>
        <w:ind w:left="426"/>
        <w:jc w:val="both"/>
        <w:rPr>
          <w:rFonts w:ascii="Arial" w:hAnsi="Arial" w:cs="Arial"/>
          <w:bCs/>
          <w:sz w:val="18"/>
          <w:szCs w:val="18"/>
        </w:rPr>
      </w:pPr>
      <w:r>
        <w:rPr>
          <w:rFonts w:ascii="Arial" w:hAnsi="Arial" w:cs="Arial"/>
          <w:bCs/>
          <w:sz w:val="18"/>
          <w:szCs w:val="18"/>
        </w:rPr>
        <w:t>MATERIALS AND COMPONENTS Materials provided with the test kits:</w:t>
      </w:r>
    </w:p>
    <w:p w14:paraId="09AAA7D1"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Coated Microwells: Microwells coated with monoclonal anti-C-Peptide antibody. </w:t>
      </w:r>
    </w:p>
    <w:p w14:paraId="72F4C06F"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Enzyme Conjugate. Ready to use. </w:t>
      </w:r>
    </w:p>
    <w:p w14:paraId="3287556A"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0CE49D5A"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Stop Solution. Ready to use. </w:t>
      </w:r>
    </w:p>
    <w:p w14:paraId="39753101"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C-Peptide Standard set of 6 standards labeled as A to F in Lyophilized form. Ready to use. For standard Concentrations refer vial label. </w:t>
      </w:r>
    </w:p>
    <w:p w14:paraId="5FE5CCC0"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0DECD658"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Control Set in lyophilized form. For control range refer vial label. </w:t>
      </w:r>
    </w:p>
    <w:p w14:paraId="51E7935B"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Pack Insert. </w:t>
      </w:r>
    </w:p>
    <w:p w14:paraId="3C0CFC66"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Plate Sealer</w:t>
      </w:r>
    </w:p>
    <w:p w14:paraId="593BB5F0"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Protocol Sheet. </w:t>
      </w:r>
    </w:p>
    <w:p w14:paraId="62BF8CB4"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6985D165" w14:textId="77777777" w:rsidR="009C6DFA" w:rsidRDefault="009C6DFA">
      <w:pPr>
        <w:tabs>
          <w:tab w:val="left" w:pos="360"/>
        </w:tabs>
        <w:jc w:val="both"/>
        <w:rPr>
          <w:rFonts w:ascii="Arial" w:hAnsi="Arial" w:cs="Arial"/>
          <w:bCs/>
          <w:sz w:val="18"/>
          <w:szCs w:val="18"/>
        </w:rPr>
      </w:pPr>
    </w:p>
    <w:p w14:paraId="4DBF0122" w14:textId="77777777" w:rsidR="009C6DFA" w:rsidRDefault="00000000">
      <w:pPr>
        <w:tabs>
          <w:tab w:val="left" w:pos="360"/>
        </w:tabs>
        <w:ind w:left="284"/>
        <w:jc w:val="both"/>
        <w:rPr>
          <w:rFonts w:ascii="Arial" w:hAnsi="Arial" w:cs="Arial"/>
          <w:bCs/>
          <w:sz w:val="18"/>
          <w:szCs w:val="18"/>
        </w:rPr>
      </w:pPr>
      <w:r>
        <w:rPr>
          <w:rFonts w:ascii="Arial" w:hAnsi="Arial" w:cs="Arial"/>
          <w:bCs/>
          <w:sz w:val="18"/>
          <w:szCs w:val="18"/>
        </w:rPr>
        <w:t xml:space="preserve"> Materials required but not provided </w:t>
      </w:r>
    </w:p>
    <w:p w14:paraId="339B4F57"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Precision pipettes: 10-100µl, 20-200µl, 100-1000µl</w:t>
      </w:r>
      <w:r>
        <w:rPr>
          <w:rFonts w:ascii="Arial" w:hAnsi="Arial" w:cs="Arial"/>
          <w:bCs/>
          <w:sz w:val="18"/>
          <w:szCs w:val="18"/>
          <w:lang w:val="en-GB"/>
        </w:rPr>
        <w:t>.</w:t>
      </w:r>
      <w:r>
        <w:rPr>
          <w:rFonts w:ascii="Arial" w:hAnsi="Arial" w:cs="Arial"/>
          <w:bCs/>
          <w:sz w:val="18"/>
          <w:szCs w:val="18"/>
        </w:rPr>
        <w:t xml:space="preserve"> </w:t>
      </w:r>
    </w:p>
    <w:p w14:paraId="683F9C36"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Disposable pipette tips </w:t>
      </w:r>
    </w:p>
    <w:p w14:paraId="6B58BB20"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Distilled water </w:t>
      </w:r>
    </w:p>
    <w:p w14:paraId="460FAFF6"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Disposable Gloves</w:t>
      </w:r>
    </w:p>
    <w:p w14:paraId="62DE5B96"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ELISA reader </w:t>
      </w:r>
    </w:p>
    <w:p w14:paraId="076C86ED" w14:textId="77777777" w:rsidR="009C6DF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ELISA washer</w:t>
      </w:r>
    </w:p>
    <w:p w14:paraId="6980E81E" w14:textId="77777777" w:rsidR="009C6DFA" w:rsidRDefault="009C6DFA">
      <w:pPr>
        <w:tabs>
          <w:tab w:val="left" w:pos="360"/>
        </w:tabs>
        <w:ind w:left="284"/>
        <w:jc w:val="both"/>
        <w:rPr>
          <w:rFonts w:ascii="Arial" w:hAnsi="Arial" w:cs="Arial"/>
          <w:bCs/>
          <w:sz w:val="18"/>
          <w:szCs w:val="18"/>
        </w:rPr>
      </w:pPr>
    </w:p>
    <w:p w14:paraId="1155C5AE" w14:textId="77777777" w:rsidR="009C6DFA" w:rsidRDefault="00000000">
      <w:pPr>
        <w:tabs>
          <w:tab w:val="left" w:pos="360"/>
        </w:tabs>
        <w:ind w:left="284"/>
        <w:jc w:val="both"/>
        <w:rPr>
          <w:rFonts w:ascii="Arial" w:hAnsi="Arial" w:cs="Arial"/>
          <w:bCs/>
          <w:sz w:val="18"/>
          <w:szCs w:val="18"/>
        </w:rPr>
      </w:pPr>
      <w:r>
        <w:rPr>
          <w:rFonts w:ascii="Arial" w:hAnsi="Arial" w:cs="Arial"/>
          <w:bCs/>
          <w:sz w:val="18"/>
          <w:szCs w:val="18"/>
        </w:rPr>
        <w:t xml:space="preserve"> STORAGE AND STABILITY</w:t>
      </w:r>
    </w:p>
    <w:p w14:paraId="228D6494" w14:textId="77777777" w:rsidR="009C6DFA"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C-Peptide 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 </w:t>
      </w:r>
    </w:p>
    <w:p w14:paraId="2558365E" w14:textId="77777777" w:rsidR="009C6DFA"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another coated Microwells pouch should be used. </w:t>
      </w:r>
    </w:p>
    <w:p w14:paraId="442A7B41" w14:textId="77777777" w:rsidR="009C6DFA"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Diluted Wash Buffer is stable for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w:t>
      </w:r>
    </w:p>
    <w:p w14:paraId="2CC754EA" w14:textId="77777777" w:rsidR="009C6DFA" w:rsidRDefault="009C6DFA">
      <w:pPr>
        <w:tabs>
          <w:tab w:val="left" w:pos="360"/>
        </w:tabs>
        <w:ind w:left="284"/>
        <w:jc w:val="both"/>
        <w:rPr>
          <w:rFonts w:ascii="Arial" w:hAnsi="Arial" w:cs="Arial"/>
          <w:bCs/>
          <w:sz w:val="18"/>
          <w:szCs w:val="18"/>
        </w:rPr>
      </w:pPr>
    </w:p>
    <w:p w14:paraId="761168D9" w14:textId="77777777" w:rsidR="009C6DFA" w:rsidRDefault="00000000">
      <w:pPr>
        <w:tabs>
          <w:tab w:val="left" w:pos="360"/>
        </w:tabs>
        <w:ind w:left="284"/>
        <w:jc w:val="both"/>
        <w:rPr>
          <w:rFonts w:ascii="Arial" w:hAnsi="Arial" w:cs="Arial"/>
          <w:bCs/>
          <w:sz w:val="18"/>
          <w:szCs w:val="18"/>
        </w:rPr>
      </w:pPr>
      <w:r>
        <w:rPr>
          <w:rFonts w:ascii="Arial" w:hAnsi="Arial" w:cs="Arial"/>
          <w:bCs/>
          <w:sz w:val="18"/>
          <w:szCs w:val="18"/>
        </w:rPr>
        <w:t xml:space="preserve">SPECIMEN COLLECTION </w:t>
      </w:r>
    </w:p>
    <w:p w14:paraId="14F056DA"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Only fasting morning fresh serum samples to be used for testing.</w:t>
      </w:r>
    </w:p>
    <w:p w14:paraId="6340B326"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Samples should be assayed as fresh as possible, If the samples cannot be assayed on the same day when collected, then the samples may be stored at -20°C for up to 30 days. </w:t>
      </w:r>
    </w:p>
    <w:p w14:paraId="44259D5C"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Collect Blood specimen by venipuncture according to standard procedure. </w:t>
      </w:r>
    </w:p>
    <w:p w14:paraId="7212A31E"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Only serum should be used.</w:t>
      </w:r>
    </w:p>
    <w:p w14:paraId="5008A7CA"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Avoid grossly hemolytic, lipemic or turbid samples.</w:t>
      </w:r>
    </w:p>
    <w:p w14:paraId="7719CDD1"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Preferably use fresh samples. However, specimens can be stored up to 48 hours at 2-8°C, for short duration. </w:t>
      </w:r>
    </w:p>
    <w:p w14:paraId="33F9B82C"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lastRenderedPageBreak/>
        <w:t xml:space="preserve">For longer storage, specimens can be frozen at -20°C. Thawed samples must be mixed prior to testing. </w:t>
      </w:r>
    </w:p>
    <w:p w14:paraId="0E1B4388"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Do not heat inactivate before use.</w:t>
      </w:r>
    </w:p>
    <w:p w14:paraId="46FA8030"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Specimen containing precipitate or particulate matter should be clarified by centrifugation prior to use. </w:t>
      </w:r>
    </w:p>
    <w:p w14:paraId="13148BBB" w14:textId="77777777" w:rsidR="009C6DF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164133B1" w14:textId="77777777" w:rsidR="009C6DFA" w:rsidRDefault="00000000">
      <w:pPr>
        <w:tabs>
          <w:tab w:val="left" w:pos="360"/>
        </w:tabs>
        <w:ind w:left="284"/>
        <w:jc w:val="both"/>
        <w:rPr>
          <w:rFonts w:ascii="Arial" w:hAnsi="Arial" w:cs="Arial"/>
          <w:bCs/>
          <w:sz w:val="18"/>
          <w:szCs w:val="18"/>
        </w:rPr>
      </w:pPr>
      <w:r>
        <w:rPr>
          <w:rFonts w:ascii="Arial" w:hAnsi="Arial" w:cs="Arial"/>
          <w:bCs/>
          <w:sz w:val="18"/>
          <w:szCs w:val="18"/>
        </w:rPr>
        <w:t xml:space="preserve"> </w:t>
      </w:r>
    </w:p>
    <w:p w14:paraId="5E68CDF6" w14:textId="77777777" w:rsidR="009C6DFA" w:rsidRDefault="00000000">
      <w:pPr>
        <w:tabs>
          <w:tab w:val="left" w:pos="360"/>
        </w:tabs>
        <w:ind w:left="284"/>
        <w:jc w:val="both"/>
        <w:rPr>
          <w:rFonts w:ascii="Arial" w:hAnsi="Arial" w:cs="Arial"/>
          <w:bCs/>
          <w:sz w:val="18"/>
          <w:szCs w:val="18"/>
        </w:rPr>
      </w:pPr>
      <w:r>
        <w:rPr>
          <w:rFonts w:ascii="Arial" w:hAnsi="Arial" w:cs="Arial"/>
          <w:bCs/>
          <w:sz w:val="18"/>
          <w:szCs w:val="18"/>
        </w:rPr>
        <w:t>PRECAUTIONS</w:t>
      </w:r>
    </w:p>
    <w:p w14:paraId="75B24D33"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5448A0E0"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pipette any material by mouth.</w:t>
      </w:r>
    </w:p>
    <w:p w14:paraId="01509B41"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eat, drink or smoke in the area where testing is done.</w:t>
      </w:r>
    </w:p>
    <w:p w14:paraId="0C60B2FB"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Use protective clothing and wear gloves when handling samples.</w:t>
      </w:r>
    </w:p>
    <w:p w14:paraId="74BEFAA8"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Use absorbent sheet to cover the working area.</w:t>
      </w:r>
    </w:p>
    <w:p w14:paraId="5DA30291"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51A65CC0"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All specimens, standards and controls should be considered potentially infectious and discarded appropriately. </w:t>
      </w:r>
    </w:p>
    <w:p w14:paraId="7641170D"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Neutralize acid containing waste before adding hypochlorite.</w:t>
      </w:r>
    </w:p>
    <w:p w14:paraId="3A1E3DBE"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use kit after the expiry date.</w:t>
      </w:r>
    </w:p>
    <w:p w14:paraId="35336AC8"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mix components of one kit with another. </w:t>
      </w:r>
    </w:p>
    <w:p w14:paraId="10943C72"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21DFA753"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1C22E0B0" w14:textId="77777777" w:rsidR="009C6DF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let the strips dry in between the steps. </w:t>
      </w:r>
    </w:p>
    <w:p w14:paraId="011288FF" w14:textId="77777777" w:rsidR="009C6DFA" w:rsidRDefault="009C6DFA">
      <w:pPr>
        <w:tabs>
          <w:tab w:val="left" w:pos="360"/>
        </w:tabs>
        <w:ind w:left="284"/>
        <w:jc w:val="both"/>
        <w:rPr>
          <w:rFonts w:ascii="Arial" w:hAnsi="Arial" w:cs="Arial"/>
          <w:bCs/>
          <w:sz w:val="18"/>
          <w:szCs w:val="18"/>
        </w:rPr>
      </w:pPr>
    </w:p>
    <w:p w14:paraId="3F1E55EF" w14:textId="77777777" w:rsidR="009C6DFA" w:rsidRDefault="00000000">
      <w:pPr>
        <w:tabs>
          <w:tab w:val="left" w:pos="360"/>
        </w:tabs>
        <w:ind w:left="284"/>
        <w:jc w:val="both"/>
        <w:rPr>
          <w:rFonts w:ascii="Arial" w:hAnsi="Arial" w:cs="Arial"/>
          <w:bCs/>
          <w:sz w:val="18"/>
          <w:szCs w:val="18"/>
        </w:rPr>
      </w:pPr>
      <w:r>
        <w:rPr>
          <w:rFonts w:ascii="Arial" w:hAnsi="Arial" w:cs="Arial"/>
          <w:bCs/>
          <w:sz w:val="18"/>
          <w:szCs w:val="18"/>
        </w:rPr>
        <w:t>REAGENT PREPARATION</w:t>
      </w:r>
    </w:p>
    <w:p w14:paraId="09D38D9E" w14:textId="77777777" w:rsidR="009C6DFA"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13EC9289" w14:textId="764D83F3" w:rsidR="009C6DFA"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Dilute Wash Buffer 20 times (for example </w:t>
      </w:r>
      <w:proofErr w:type="gramStart"/>
      <w:r>
        <w:rPr>
          <w:rFonts w:ascii="Arial" w:hAnsi="Arial" w:cs="Arial"/>
          <w:bCs/>
          <w:sz w:val="18"/>
          <w:szCs w:val="18"/>
        </w:rPr>
        <w:t xml:space="preserve">add </w:t>
      </w:r>
      <w:r w:rsidR="00E37F1B">
        <w:rPr>
          <w:rFonts w:ascii="Arial" w:hAnsi="Arial" w:cs="Arial"/>
          <w:bCs/>
          <w:sz w:val="18"/>
          <w:szCs w:val="18"/>
        </w:rPr>
        <w:t xml:space="preserve"> </w:t>
      </w:r>
      <w:r>
        <w:rPr>
          <w:rFonts w:ascii="Arial" w:hAnsi="Arial" w:cs="Arial"/>
          <w:bCs/>
          <w:sz w:val="18"/>
          <w:szCs w:val="18"/>
        </w:rPr>
        <w:t>5</w:t>
      </w:r>
      <w:proofErr w:type="gramEnd"/>
      <w:r w:rsidR="00E37F1B">
        <w:rPr>
          <w:rFonts w:ascii="Arial" w:hAnsi="Arial" w:cs="Arial"/>
          <w:bCs/>
          <w:sz w:val="18"/>
          <w:szCs w:val="18"/>
        </w:rPr>
        <w:t xml:space="preserve"> </w:t>
      </w:r>
      <w:r>
        <w:rPr>
          <w:rFonts w:ascii="Arial" w:hAnsi="Arial" w:cs="Arial"/>
          <w:bCs/>
          <w:sz w:val="18"/>
          <w:szCs w:val="18"/>
        </w:rPr>
        <w:t xml:space="preserve">ml concentrated buffer to 95 ml distilled or deionized water). Mix well before use. </w:t>
      </w:r>
    </w:p>
    <w:p w14:paraId="75BE44B8" w14:textId="77777777" w:rsidR="009C6DFA"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Since the reference standards and controls are lyophilized, reconstitute each standard and control with 0.5 ml distilled water. Allow the reconstituted material to stand for at least 20 minutes. Reconstituted standards and controls should be sealed and stored at 2-8°C. </w:t>
      </w:r>
    </w:p>
    <w:p w14:paraId="1F5F3477" w14:textId="77777777" w:rsidR="009C6DFA" w:rsidRDefault="009C6DFA">
      <w:pPr>
        <w:tabs>
          <w:tab w:val="left" w:pos="360"/>
        </w:tabs>
        <w:ind w:left="284"/>
        <w:jc w:val="both"/>
        <w:rPr>
          <w:rFonts w:ascii="Arial" w:hAnsi="Arial" w:cs="Arial"/>
          <w:bCs/>
          <w:sz w:val="18"/>
          <w:szCs w:val="18"/>
        </w:rPr>
      </w:pPr>
    </w:p>
    <w:p w14:paraId="226C892E" w14:textId="77777777" w:rsidR="009C6DFA" w:rsidRDefault="009C6DFA">
      <w:pPr>
        <w:tabs>
          <w:tab w:val="left" w:pos="360"/>
        </w:tabs>
        <w:ind w:left="284"/>
        <w:jc w:val="both"/>
        <w:rPr>
          <w:rFonts w:ascii="Arial" w:hAnsi="Arial" w:cs="Arial"/>
          <w:bCs/>
          <w:sz w:val="18"/>
          <w:szCs w:val="18"/>
        </w:rPr>
      </w:pPr>
    </w:p>
    <w:p w14:paraId="38D77C48" w14:textId="77777777" w:rsidR="009C6DFA" w:rsidRDefault="00000000">
      <w:pPr>
        <w:tabs>
          <w:tab w:val="left" w:pos="360"/>
        </w:tabs>
        <w:ind w:left="284"/>
        <w:jc w:val="both"/>
        <w:rPr>
          <w:rFonts w:ascii="Arial" w:hAnsi="Arial" w:cs="Arial"/>
          <w:bCs/>
          <w:sz w:val="18"/>
          <w:szCs w:val="18"/>
        </w:rPr>
      </w:pPr>
      <w:r>
        <w:rPr>
          <w:rFonts w:ascii="Arial" w:hAnsi="Arial" w:cs="Arial"/>
          <w:bCs/>
          <w:sz w:val="18"/>
          <w:szCs w:val="18"/>
        </w:rPr>
        <w:t>TEST PROCEDURE</w:t>
      </w:r>
    </w:p>
    <w:p w14:paraId="3DC7B671" w14:textId="77777777" w:rsidR="009C6DFA" w:rsidRDefault="00000000">
      <w:pPr>
        <w:numPr>
          <w:ilvl w:val="0"/>
          <w:numId w:val="6"/>
        </w:numPr>
        <w:tabs>
          <w:tab w:val="clear" w:pos="425"/>
          <w:tab w:val="left" w:pos="360"/>
        </w:tabs>
        <w:ind w:left="360" w:hangingChars="200" w:hanging="360"/>
        <w:jc w:val="both"/>
        <w:rPr>
          <w:rFonts w:ascii="Arial" w:hAnsi="Arial" w:cs="Arial"/>
          <w:bCs/>
          <w:sz w:val="18"/>
          <w:szCs w:val="18"/>
        </w:rPr>
      </w:pPr>
      <w:r>
        <w:rPr>
          <w:rFonts w:ascii="Arial" w:hAnsi="Arial" w:cs="Arial"/>
          <w:bCs/>
          <w:sz w:val="18"/>
          <w:szCs w:val="18"/>
        </w:rPr>
        <w:t>Secure the desired number of coated wells</w:t>
      </w:r>
      <w:r>
        <w:rPr>
          <w:rFonts w:ascii="Arial" w:hAnsi="Arial" w:cs="Arial"/>
          <w:bCs/>
          <w:sz w:val="18"/>
          <w:szCs w:val="18"/>
          <w:lang w:val="en-GB"/>
        </w:rPr>
        <w:t xml:space="preserve"> </w:t>
      </w:r>
      <w:r>
        <w:rPr>
          <w:rFonts w:ascii="Arial" w:hAnsi="Arial" w:cs="Arial"/>
          <w:bCs/>
          <w:sz w:val="18"/>
          <w:szCs w:val="18"/>
        </w:rPr>
        <w:t>in the holder. Dispense 50 µl of standards, controls and sera into the appropriate wells.</w:t>
      </w:r>
    </w:p>
    <w:p w14:paraId="31AED030" w14:textId="77777777" w:rsidR="009C6DFA" w:rsidRDefault="00000000">
      <w:pPr>
        <w:pStyle w:val="ListParagraph"/>
        <w:numPr>
          <w:ilvl w:val="0"/>
          <w:numId w:val="6"/>
        </w:numPr>
        <w:tabs>
          <w:tab w:val="clear" w:pos="425"/>
          <w:tab w:val="left" w:pos="360"/>
        </w:tabs>
        <w:ind w:left="360" w:hangingChars="200" w:hanging="360"/>
        <w:jc w:val="both"/>
        <w:rPr>
          <w:rFonts w:ascii="Arial" w:hAnsi="Arial" w:cs="Arial"/>
          <w:bCs/>
          <w:sz w:val="18"/>
          <w:szCs w:val="18"/>
        </w:rPr>
      </w:pPr>
      <w:r>
        <w:rPr>
          <w:rFonts w:ascii="Arial" w:hAnsi="Arial" w:cs="Arial"/>
          <w:bCs/>
          <w:sz w:val="18"/>
          <w:szCs w:val="18"/>
        </w:rPr>
        <w:t>Dispense 100 µl of Enzyme Conjugate into each well. Incubate at room temperature</w:t>
      </w:r>
      <w:r>
        <w:rPr>
          <w:rFonts w:ascii="Arial" w:hAnsi="Arial" w:cs="Arial"/>
          <w:bCs/>
          <w:sz w:val="18"/>
          <w:szCs w:val="18"/>
          <w:lang w:val="en-GB"/>
        </w:rPr>
        <w:t xml:space="preserve"> </w:t>
      </w:r>
      <w:r>
        <w:rPr>
          <w:rFonts w:ascii="Arial" w:hAnsi="Arial" w:cs="Arial"/>
          <w:bCs/>
          <w:sz w:val="18"/>
          <w:szCs w:val="18"/>
        </w:rPr>
        <w:t>(18-25</w:t>
      </w:r>
      <w:r>
        <w:rPr>
          <w:rFonts w:ascii="Arial" w:hAnsi="Arial" w:cs="Arial"/>
          <w:bCs/>
          <w:sz w:val="18"/>
          <w:szCs w:val="18"/>
          <w:vertAlign w:val="superscript"/>
        </w:rPr>
        <w:t>0</w:t>
      </w:r>
      <w:r>
        <w:rPr>
          <w:rFonts w:ascii="Arial" w:hAnsi="Arial" w:cs="Arial"/>
          <w:bCs/>
          <w:sz w:val="18"/>
          <w:szCs w:val="18"/>
        </w:rPr>
        <w:t xml:space="preserve">C) for 45 minutes. </w:t>
      </w:r>
    </w:p>
    <w:p w14:paraId="1A7591B0" w14:textId="77777777" w:rsidR="009C6DFA" w:rsidRDefault="00000000">
      <w:pPr>
        <w:pStyle w:val="ListParagraph"/>
        <w:numPr>
          <w:ilvl w:val="0"/>
          <w:numId w:val="6"/>
        </w:numPr>
        <w:tabs>
          <w:tab w:val="clear" w:pos="425"/>
          <w:tab w:val="left" w:pos="360"/>
        </w:tabs>
        <w:ind w:left="360" w:hangingChars="200" w:hanging="360"/>
        <w:jc w:val="both"/>
        <w:rPr>
          <w:rFonts w:ascii="Arial" w:hAnsi="Arial" w:cs="Arial"/>
          <w:bCs/>
          <w:sz w:val="18"/>
          <w:szCs w:val="18"/>
        </w:rPr>
      </w:pPr>
      <w:r>
        <w:rPr>
          <w:rFonts w:ascii="Arial" w:hAnsi="Arial" w:cs="Arial"/>
          <w:bCs/>
          <w:sz w:val="18"/>
          <w:szCs w:val="18"/>
        </w:rPr>
        <w:t>Remove the incubation mixture by emptying the plate content into a waste container. Rinse and empty the microtiter plate 5 times</w:t>
      </w:r>
      <w:r>
        <w:rPr>
          <w:rFonts w:ascii="Arial" w:hAnsi="Arial" w:cs="Arial"/>
          <w:bCs/>
          <w:sz w:val="18"/>
          <w:szCs w:val="18"/>
          <w:lang w:val="en-GB"/>
        </w:rPr>
        <w:t xml:space="preserve"> </w:t>
      </w:r>
      <w:r>
        <w:rPr>
          <w:rFonts w:ascii="Arial" w:hAnsi="Arial" w:cs="Arial"/>
          <w:bCs/>
          <w:sz w:val="18"/>
          <w:szCs w:val="18"/>
        </w:rPr>
        <w:t xml:space="preserve">with Wash Buffer (1X). Strike the microtiter plate sharply onto absorbent paper or paper towels to remove all residual droplets. </w:t>
      </w:r>
    </w:p>
    <w:p w14:paraId="2B62D505" w14:textId="77777777" w:rsidR="009C6DFA" w:rsidRDefault="00000000">
      <w:pPr>
        <w:pStyle w:val="ListParagraph"/>
        <w:numPr>
          <w:ilvl w:val="0"/>
          <w:numId w:val="6"/>
        </w:numPr>
        <w:tabs>
          <w:tab w:val="clear" w:pos="425"/>
          <w:tab w:val="left" w:pos="360"/>
        </w:tabs>
        <w:ind w:left="360" w:hangingChars="200" w:hanging="360"/>
        <w:jc w:val="both"/>
        <w:rPr>
          <w:rFonts w:ascii="Arial" w:hAnsi="Arial" w:cs="Arial"/>
          <w:bCs/>
          <w:sz w:val="18"/>
          <w:szCs w:val="18"/>
        </w:rPr>
      </w:pPr>
      <w:r>
        <w:rPr>
          <w:rFonts w:ascii="Arial" w:hAnsi="Arial" w:cs="Arial"/>
          <w:bCs/>
          <w:sz w:val="18"/>
          <w:szCs w:val="18"/>
        </w:rPr>
        <w:t>Dispense 100 µl of TMB Substrate into each well. Incubate at room temperature (18-25</w:t>
      </w:r>
      <w:r>
        <w:rPr>
          <w:rFonts w:ascii="Arial" w:hAnsi="Arial" w:cs="Arial"/>
          <w:bCs/>
          <w:sz w:val="18"/>
          <w:szCs w:val="18"/>
          <w:vertAlign w:val="superscript"/>
        </w:rPr>
        <w:t>0</w:t>
      </w:r>
      <w:r>
        <w:rPr>
          <w:rFonts w:ascii="Arial" w:hAnsi="Arial" w:cs="Arial"/>
          <w:bCs/>
          <w:sz w:val="18"/>
          <w:szCs w:val="18"/>
        </w:rPr>
        <w:t xml:space="preserve"> C), in the dark, for 20 minutes.</w:t>
      </w:r>
    </w:p>
    <w:p w14:paraId="0992F09E" w14:textId="77777777" w:rsidR="009C6DFA" w:rsidRDefault="00000000">
      <w:pPr>
        <w:pStyle w:val="ListParagraph"/>
        <w:numPr>
          <w:ilvl w:val="0"/>
          <w:numId w:val="6"/>
        </w:numPr>
        <w:tabs>
          <w:tab w:val="clear" w:pos="425"/>
          <w:tab w:val="left" w:pos="360"/>
        </w:tabs>
        <w:ind w:left="360" w:hangingChars="200" w:hanging="360"/>
        <w:jc w:val="both"/>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6525A208" w14:textId="77777777" w:rsidR="009C6DFA" w:rsidRDefault="00000000">
      <w:pPr>
        <w:pStyle w:val="ListParagraph"/>
        <w:numPr>
          <w:ilvl w:val="0"/>
          <w:numId w:val="6"/>
        </w:numPr>
        <w:tabs>
          <w:tab w:val="clear" w:pos="425"/>
          <w:tab w:val="left" w:pos="360"/>
        </w:tabs>
        <w:ind w:left="360" w:hangingChars="200" w:hanging="360"/>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6FC5F56E" w14:textId="77777777" w:rsidR="009C6DFA" w:rsidRDefault="009C6DFA">
      <w:pPr>
        <w:tabs>
          <w:tab w:val="left" w:pos="360"/>
        </w:tabs>
        <w:ind w:left="720" w:hanging="360"/>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9C6DFA" w14:paraId="04FBCE90" w14:textId="77777777">
        <w:trPr>
          <w:trHeight w:val="360"/>
        </w:trPr>
        <w:tc>
          <w:tcPr>
            <w:tcW w:w="3546" w:type="dxa"/>
            <w:shd w:val="clear" w:color="auto" w:fill="auto"/>
          </w:tcPr>
          <w:p w14:paraId="186565B7" w14:textId="77777777" w:rsidR="009C6DFA" w:rsidRDefault="00000000">
            <w:pPr>
              <w:tabs>
                <w:tab w:val="left" w:pos="360"/>
              </w:tabs>
              <w:jc w:val="both"/>
              <w:rPr>
                <w:rFonts w:ascii="Arial" w:hAnsi="Arial" w:cs="Arial"/>
                <w:bCs/>
                <w:sz w:val="18"/>
                <w:szCs w:val="18"/>
              </w:rPr>
            </w:pPr>
            <w:r>
              <w:rPr>
                <w:rFonts w:ascii="Arial" w:hAnsi="Arial" w:cs="Arial"/>
                <w:bCs/>
                <w:sz w:val="18"/>
                <w:szCs w:val="18"/>
              </w:rPr>
              <w:t>Add 50 µl Standards/controls/samples into the respective Microwell</w:t>
            </w:r>
          </w:p>
        </w:tc>
      </w:tr>
    </w:tbl>
    <w:p w14:paraId="4B301CD0" w14:textId="77777777" w:rsidR="009C6DF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591D933D" wp14:editId="5EA67B07">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0FCE41BD" w14:textId="77777777" w:rsidR="009C6DFA" w:rsidRDefault="009C6DF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C6DFA" w14:paraId="40018DE9" w14:textId="77777777">
        <w:trPr>
          <w:trHeight w:val="275"/>
        </w:trPr>
        <w:tc>
          <w:tcPr>
            <w:tcW w:w="3604" w:type="dxa"/>
            <w:shd w:val="clear" w:color="auto" w:fill="auto"/>
          </w:tcPr>
          <w:p w14:paraId="76BCB1E5" w14:textId="77777777" w:rsidR="009C6DFA" w:rsidRDefault="00000000">
            <w:pPr>
              <w:tabs>
                <w:tab w:val="left" w:pos="360"/>
              </w:tabs>
              <w:jc w:val="both"/>
              <w:rPr>
                <w:rFonts w:ascii="Arial" w:hAnsi="Arial" w:cs="Arial"/>
                <w:bCs/>
                <w:sz w:val="18"/>
                <w:szCs w:val="18"/>
              </w:rPr>
            </w:pPr>
            <w:r>
              <w:rPr>
                <w:rFonts w:ascii="Arial" w:hAnsi="Arial" w:cs="Arial"/>
                <w:bCs/>
                <w:sz w:val="18"/>
                <w:szCs w:val="18"/>
              </w:rPr>
              <w:t xml:space="preserve">Add 100 µl </w:t>
            </w:r>
            <w:r>
              <w:rPr>
                <w:rFonts w:ascii="Arial" w:hAnsi="Arial" w:cs="Arial"/>
                <w:bCs/>
                <w:sz w:val="18"/>
                <w:szCs w:val="18"/>
                <w:lang w:val="en-GB"/>
              </w:rPr>
              <w:t xml:space="preserve">of </w:t>
            </w:r>
            <w:r>
              <w:rPr>
                <w:rFonts w:ascii="Arial" w:hAnsi="Arial" w:cs="Arial"/>
                <w:bCs/>
                <w:sz w:val="18"/>
                <w:szCs w:val="18"/>
              </w:rPr>
              <w:t>Enzyme conjugate in each well</w:t>
            </w:r>
          </w:p>
        </w:tc>
      </w:tr>
    </w:tbl>
    <w:p w14:paraId="16ADF6E5" w14:textId="77777777" w:rsidR="009C6DF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33CA9CA7" wp14:editId="7EE875BA">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2AE55B1A" w14:textId="77777777" w:rsidR="009C6DFA" w:rsidRDefault="009C6DF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C6DFA" w14:paraId="50947D2E" w14:textId="77777777">
        <w:trPr>
          <w:trHeight w:val="376"/>
        </w:trPr>
        <w:tc>
          <w:tcPr>
            <w:tcW w:w="3604" w:type="dxa"/>
            <w:shd w:val="clear" w:color="auto" w:fill="auto"/>
          </w:tcPr>
          <w:p w14:paraId="3BE4B8DB" w14:textId="77777777" w:rsidR="009C6DFA" w:rsidRDefault="00000000">
            <w:pPr>
              <w:tabs>
                <w:tab w:val="left" w:pos="360"/>
              </w:tabs>
              <w:jc w:val="both"/>
              <w:rPr>
                <w:rFonts w:ascii="Arial" w:hAnsi="Arial" w:cs="Arial"/>
                <w:bCs/>
                <w:i/>
                <w:iCs/>
                <w:sz w:val="18"/>
                <w:szCs w:val="18"/>
              </w:rPr>
            </w:pPr>
            <w:r>
              <w:rPr>
                <w:rFonts w:ascii="Arial" w:hAnsi="Arial" w:cs="Arial"/>
                <w:bCs/>
                <w:sz w:val="18"/>
                <w:szCs w:val="18"/>
              </w:rPr>
              <w:t>Apply plate sealer and incubate for 45 minutes at 18-25°C</w:t>
            </w:r>
          </w:p>
        </w:tc>
      </w:tr>
    </w:tbl>
    <w:p w14:paraId="6B931C75" w14:textId="77777777" w:rsidR="009C6DF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36F95037" wp14:editId="15871A56">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pt;margin-top:0.8pt;height:21pt;width:6pt;z-index:251664384;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05B7B10A" w14:textId="77777777" w:rsidR="009C6DFA" w:rsidRDefault="009C6DF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C6DFA" w14:paraId="34118B16" w14:textId="77777777">
        <w:trPr>
          <w:trHeight w:val="303"/>
        </w:trPr>
        <w:tc>
          <w:tcPr>
            <w:tcW w:w="3604" w:type="dxa"/>
            <w:shd w:val="clear" w:color="auto" w:fill="auto"/>
          </w:tcPr>
          <w:p w14:paraId="730F7BE9" w14:textId="77777777" w:rsidR="009C6DFA"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2011A522" w14:textId="77777777" w:rsidR="009C6DF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7B0A0C3C" wp14:editId="4B846670">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5FF8D088" w14:textId="77777777" w:rsidR="009C6DFA" w:rsidRDefault="009C6DF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C6DFA" w14:paraId="240C1C93" w14:textId="77777777">
        <w:tc>
          <w:tcPr>
            <w:tcW w:w="3604" w:type="dxa"/>
            <w:shd w:val="clear" w:color="auto" w:fill="auto"/>
          </w:tcPr>
          <w:p w14:paraId="6764E0AC" w14:textId="77777777" w:rsidR="009C6DFA"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7FB0F111" w14:textId="77777777" w:rsidR="009C6DF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315AAE48" wp14:editId="7EDCC097">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421D05D2" w14:textId="77777777" w:rsidR="009C6DFA" w:rsidRDefault="009C6DF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C6DFA" w14:paraId="2104E151" w14:textId="77777777">
        <w:tc>
          <w:tcPr>
            <w:tcW w:w="3604" w:type="dxa"/>
            <w:shd w:val="clear" w:color="auto" w:fill="auto"/>
          </w:tcPr>
          <w:p w14:paraId="6E7531D0" w14:textId="77777777" w:rsidR="009C6DFA" w:rsidRDefault="00000000">
            <w:pPr>
              <w:tabs>
                <w:tab w:val="left" w:pos="360"/>
              </w:tabs>
              <w:jc w:val="both"/>
              <w:rPr>
                <w:rFonts w:ascii="Arial" w:hAnsi="Arial" w:cs="Arial"/>
                <w:bCs/>
                <w:sz w:val="18"/>
                <w:szCs w:val="18"/>
              </w:rPr>
            </w:pPr>
            <w:r>
              <w:rPr>
                <w:rFonts w:ascii="Arial" w:hAnsi="Arial" w:cs="Arial"/>
                <w:bCs/>
                <w:sz w:val="18"/>
                <w:szCs w:val="18"/>
              </w:rPr>
              <w:t>Incubate for 20 Minutes at 18-25°C in dark</w:t>
            </w:r>
          </w:p>
        </w:tc>
      </w:tr>
    </w:tbl>
    <w:p w14:paraId="53449181" w14:textId="77777777" w:rsidR="009C6DF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75D56926" wp14:editId="172FC03B">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2.75pt;margin-top:0.3pt;height:21pt;width:6pt;z-index:251663360;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088EDABB" w14:textId="77777777" w:rsidR="009C6DFA" w:rsidRDefault="009C6DF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C6DFA" w14:paraId="5BEB909F" w14:textId="77777777">
        <w:trPr>
          <w:trHeight w:val="303"/>
        </w:trPr>
        <w:tc>
          <w:tcPr>
            <w:tcW w:w="3604" w:type="dxa"/>
            <w:shd w:val="clear" w:color="auto" w:fill="auto"/>
          </w:tcPr>
          <w:p w14:paraId="6B69FBBE" w14:textId="77777777" w:rsidR="009C6DFA"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7718137A" w14:textId="77777777" w:rsidR="009C6DF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1DEE60CA" wp14:editId="4D38493E">
                <wp:simplePos x="0" y="0"/>
                <wp:positionH relativeFrom="column">
                  <wp:posOffset>1314450</wp:posOffset>
                </wp:positionH>
                <wp:positionV relativeFrom="paragraph">
                  <wp:posOffset>-635</wp:posOffset>
                </wp:positionV>
                <wp:extent cx="85725" cy="152400"/>
                <wp:effectExtent l="19050" t="0" r="47625"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725" cy="1524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6177E7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3.5pt;margin-top:-.05pt;width:6.75pt;height: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" adj="10969" fillcolor="black">
                <v:textbox style="layout-flow:vertical-ideographic"/>
              </v:shape>
            </w:pict>
          </mc:Fallback>
        </mc:AlternateContent>
      </w: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C6DFA" w14:paraId="0E1C2504" w14:textId="77777777">
        <w:tc>
          <w:tcPr>
            <w:tcW w:w="3604" w:type="dxa"/>
            <w:shd w:val="clear" w:color="auto" w:fill="auto"/>
          </w:tcPr>
          <w:p w14:paraId="71B028DA" w14:textId="77777777" w:rsidR="009C6DFA"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68C4BAA1" w14:textId="77777777" w:rsidR="009C6DFA" w:rsidRDefault="009C6DFA">
      <w:pPr>
        <w:tabs>
          <w:tab w:val="left" w:pos="360"/>
        </w:tabs>
        <w:ind w:left="360" w:hanging="360"/>
        <w:jc w:val="both"/>
        <w:rPr>
          <w:rFonts w:ascii="Arial" w:hAnsi="Arial" w:cs="Arial"/>
          <w:bCs/>
          <w:sz w:val="18"/>
          <w:szCs w:val="18"/>
        </w:rPr>
      </w:pPr>
    </w:p>
    <w:p w14:paraId="5E38AAD2" w14:textId="77777777" w:rsidR="009C6DFA" w:rsidRDefault="00000000">
      <w:pPr>
        <w:tabs>
          <w:tab w:val="left" w:pos="360"/>
        </w:tabs>
        <w:jc w:val="both"/>
        <w:rPr>
          <w:rFonts w:ascii="Arial" w:hAnsi="Arial" w:cs="Arial"/>
          <w:bCs/>
          <w:sz w:val="18"/>
          <w:szCs w:val="18"/>
        </w:rPr>
      </w:pPr>
      <w:r>
        <w:rPr>
          <w:rFonts w:ascii="Arial" w:hAnsi="Arial" w:cs="Arial"/>
          <w:bCs/>
          <w:sz w:val="18"/>
          <w:szCs w:val="18"/>
        </w:rPr>
        <w:t xml:space="preserve">CALCULATION OF RESULTS </w:t>
      </w:r>
    </w:p>
    <w:p w14:paraId="3EFE2F8D" w14:textId="77777777" w:rsidR="009C6DFA" w:rsidRDefault="00000000">
      <w:pPr>
        <w:tabs>
          <w:tab w:val="left" w:pos="360"/>
        </w:tabs>
        <w:jc w:val="both"/>
        <w:rPr>
          <w:rFonts w:ascii="Arial" w:hAnsi="Arial" w:cs="Arial"/>
          <w:bCs/>
          <w:sz w:val="18"/>
          <w:szCs w:val="18"/>
        </w:rPr>
      </w:pPr>
      <w:r>
        <w:rPr>
          <w:rFonts w:ascii="Arial" w:hAnsi="Arial" w:cs="Arial"/>
          <w:bCs/>
          <w:sz w:val="18"/>
          <w:szCs w:val="18"/>
        </w:rPr>
        <w:t xml:space="preserve">Construct a standard curve by plotting the absorbance obtained from each reference standard against its concentration in ng/ml on the graph paper, with absorbance values on the vertical or Y axis and concentrations on the horizontal or X axis. Use the absorbance values for each specimen to determine the corresponding concentration of C-Peptide in ng/ml from the standard curve. Any diluted specimens must be corrected by the appropriate dilution factor. </w:t>
      </w:r>
    </w:p>
    <w:p w14:paraId="38731854" w14:textId="77777777" w:rsidR="009C6DFA" w:rsidRDefault="009C6DFA">
      <w:pPr>
        <w:tabs>
          <w:tab w:val="left" w:pos="360"/>
        </w:tabs>
        <w:jc w:val="both"/>
        <w:rPr>
          <w:rFonts w:ascii="Arial" w:hAnsi="Arial" w:cs="Arial"/>
          <w:bCs/>
          <w:sz w:val="18"/>
          <w:szCs w:val="18"/>
        </w:rPr>
      </w:pPr>
    </w:p>
    <w:p w14:paraId="32791BC5" w14:textId="77777777" w:rsidR="009C6DFA" w:rsidRDefault="00000000">
      <w:pPr>
        <w:tabs>
          <w:tab w:val="left" w:pos="360"/>
        </w:tabs>
        <w:jc w:val="both"/>
        <w:rPr>
          <w:rFonts w:ascii="Arial" w:hAnsi="Arial" w:cs="Arial"/>
          <w:bCs/>
          <w:sz w:val="18"/>
          <w:szCs w:val="18"/>
        </w:rPr>
      </w:pPr>
      <w:r>
        <w:rPr>
          <w:rFonts w:ascii="Arial" w:hAnsi="Arial" w:cs="Arial"/>
          <w:bCs/>
          <w:sz w:val="18"/>
          <w:szCs w:val="18"/>
        </w:rPr>
        <w:t xml:space="preserve">Example of Standard curve </w:t>
      </w:r>
    </w:p>
    <w:p w14:paraId="6B2B1274" w14:textId="77777777" w:rsidR="009C6DFA" w:rsidRDefault="00000000">
      <w:pPr>
        <w:tabs>
          <w:tab w:val="left" w:pos="360"/>
        </w:tabs>
        <w:jc w:val="both"/>
        <w:rPr>
          <w:rFonts w:ascii="Arial" w:hAnsi="Arial" w:cs="Arial"/>
          <w:bCs/>
          <w:sz w:val="18"/>
          <w:szCs w:val="18"/>
        </w:rPr>
      </w:pPr>
      <w:r>
        <w:rPr>
          <w:rFonts w:ascii="Arial" w:hAnsi="Arial" w:cs="Arial"/>
          <w:bCs/>
          <w:sz w:val="18"/>
          <w:szCs w:val="18"/>
        </w:rPr>
        <w:t xml:space="preserve">Results of a typical standard run with optical density reading at 450nm (ref 600 – 700nm) shown in the </w:t>
      </w:r>
      <w:proofErr w:type="spellStart"/>
      <w:r>
        <w:rPr>
          <w:rFonts w:ascii="Arial" w:hAnsi="Arial" w:cs="Arial"/>
          <w:bCs/>
          <w:sz w:val="18"/>
          <w:szCs w:val="18"/>
        </w:rPr>
        <w:t>Yaxis</w:t>
      </w:r>
      <w:proofErr w:type="spellEnd"/>
      <w:r>
        <w:rPr>
          <w:rFonts w:ascii="Arial" w:hAnsi="Arial" w:cs="Arial"/>
          <w:bCs/>
          <w:sz w:val="18"/>
          <w:szCs w:val="18"/>
        </w:rPr>
        <w:t xml:space="preserve"> against C-Peptide concentrations shown in the X axis.</w:t>
      </w:r>
    </w:p>
    <w:p w14:paraId="6E6FEDB0" w14:textId="77777777" w:rsidR="009C6DFA" w:rsidRDefault="009C6DFA">
      <w:pPr>
        <w:tabs>
          <w:tab w:val="left" w:pos="360"/>
        </w:tabs>
        <w:jc w:val="both"/>
        <w:rPr>
          <w:rFonts w:ascii="Arial" w:hAnsi="Arial" w:cs="Arial"/>
          <w:bCs/>
          <w:sz w:val="18"/>
          <w:szCs w:val="18"/>
        </w:rPr>
      </w:pPr>
    </w:p>
    <w:p w14:paraId="56FE7B63" w14:textId="77777777" w:rsidR="009C6DFA" w:rsidRDefault="00000000">
      <w:pPr>
        <w:tabs>
          <w:tab w:val="left" w:pos="360"/>
        </w:tabs>
        <w:jc w:val="both"/>
        <w:rPr>
          <w:rFonts w:ascii="Arial" w:hAnsi="Arial" w:cs="Arial"/>
          <w:bCs/>
          <w:sz w:val="18"/>
          <w:szCs w:val="18"/>
          <w:lang w:val="en-GB"/>
        </w:rPr>
      </w:pPr>
      <w:proofErr w:type="gramStart"/>
      <w:r>
        <w:rPr>
          <w:rFonts w:ascii="Arial" w:hAnsi="Arial" w:cs="Arial"/>
          <w:bCs/>
          <w:sz w:val="18"/>
          <w:szCs w:val="18"/>
          <w:lang w:val="en-GB"/>
        </w:rPr>
        <w:t>Suggest :</w:t>
      </w:r>
      <w:proofErr w:type="gramEnd"/>
      <w:r>
        <w:rPr>
          <w:rFonts w:ascii="Arial" w:hAnsi="Arial" w:cs="Arial"/>
          <w:bCs/>
          <w:sz w:val="18"/>
          <w:szCs w:val="18"/>
          <w:lang w:val="en-GB"/>
        </w:rPr>
        <w:t xml:space="preserve"> Use 4 - Parameter standard curve to calculate sample values. </w:t>
      </w:r>
    </w:p>
    <w:p w14:paraId="7BD067F1" w14:textId="77777777" w:rsidR="009C6DFA" w:rsidRDefault="009C6DFA">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915"/>
        <w:gridCol w:w="1915"/>
      </w:tblGrid>
      <w:tr w:rsidR="009C6DFA" w14:paraId="69783E5C" w14:textId="77777777">
        <w:tc>
          <w:tcPr>
            <w:tcW w:w="1915" w:type="dxa"/>
          </w:tcPr>
          <w:p w14:paraId="053086BC" w14:textId="77777777" w:rsidR="009C6DFA" w:rsidRDefault="00000000">
            <w:pPr>
              <w:tabs>
                <w:tab w:val="left" w:pos="360"/>
              </w:tabs>
              <w:jc w:val="both"/>
              <w:rPr>
                <w:rFonts w:ascii="Arial" w:hAnsi="Arial" w:cs="Arial"/>
                <w:bCs/>
                <w:sz w:val="18"/>
                <w:szCs w:val="18"/>
              </w:rPr>
            </w:pPr>
            <w:r>
              <w:rPr>
                <w:rFonts w:ascii="Arial" w:hAnsi="Arial" w:cs="Arial"/>
                <w:bCs/>
                <w:sz w:val="18"/>
                <w:szCs w:val="18"/>
              </w:rPr>
              <w:t>C-Peptide (ng/ml)</w:t>
            </w:r>
          </w:p>
        </w:tc>
        <w:tc>
          <w:tcPr>
            <w:tcW w:w="1915" w:type="dxa"/>
          </w:tcPr>
          <w:p w14:paraId="31AD8947" w14:textId="77777777" w:rsidR="009C6DFA" w:rsidRDefault="00000000">
            <w:pPr>
              <w:tabs>
                <w:tab w:val="left" w:pos="360"/>
              </w:tabs>
              <w:jc w:val="both"/>
              <w:rPr>
                <w:rFonts w:ascii="Arial" w:hAnsi="Arial" w:cs="Arial"/>
                <w:bCs/>
                <w:sz w:val="18"/>
                <w:szCs w:val="18"/>
              </w:rPr>
            </w:pPr>
            <w:r>
              <w:rPr>
                <w:rFonts w:ascii="Arial" w:hAnsi="Arial" w:cs="Arial"/>
                <w:bCs/>
                <w:sz w:val="18"/>
                <w:szCs w:val="18"/>
              </w:rPr>
              <w:t xml:space="preserve">Absorbance (450nm) </w:t>
            </w:r>
          </w:p>
        </w:tc>
      </w:tr>
      <w:tr w:rsidR="009C6DFA" w14:paraId="211D3D35" w14:textId="77777777">
        <w:tc>
          <w:tcPr>
            <w:tcW w:w="1915" w:type="dxa"/>
          </w:tcPr>
          <w:p w14:paraId="44FD39E5"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A</w:t>
            </w:r>
          </w:p>
        </w:tc>
        <w:tc>
          <w:tcPr>
            <w:tcW w:w="1915" w:type="dxa"/>
          </w:tcPr>
          <w:p w14:paraId="41A2E44D"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0.002</w:t>
            </w:r>
          </w:p>
        </w:tc>
      </w:tr>
      <w:tr w:rsidR="009C6DFA" w14:paraId="7D406155" w14:textId="77777777">
        <w:tc>
          <w:tcPr>
            <w:tcW w:w="1915" w:type="dxa"/>
          </w:tcPr>
          <w:p w14:paraId="79C1EEEB"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B</w:t>
            </w:r>
          </w:p>
        </w:tc>
        <w:tc>
          <w:tcPr>
            <w:tcW w:w="1915" w:type="dxa"/>
          </w:tcPr>
          <w:p w14:paraId="1FF7B751"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0.031</w:t>
            </w:r>
          </w:p>
        </w:tc>
      </w:tr>
      <w:tr w:rsidR="009C6DFA" w14:paraId="0538D6E3" w14:textId="77777777">
        <w:tc>
          <w:tcPr>
            <w:tcW w:w="1915" w:type="dxa"/>
          </w:tcPr>
          <w:p w14:paraId="29E301F3"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C</w:t>
            </w:r>
          </w:p>
        </w:tc>
        <w:tc>
          <w:tcPr>
            <w:tcW w:w="1915" w:type="dxa"/>
          </w:tcPr>
          <w:p w14:paraId="04CE9BBA"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0.091</w:t>
            </w:r>
          </w:p>
        </w:tc>
      </w:tr>
      <w:tr w:rsidR="009C6DFA" w14:paraId="555C579F" w14:textId="77777777">
        <w:tc>
          <w:tcPr>
            <w:tcW w:w="1915" w:type="dxa"/>
          </w:tcPr>
          <w:p w14:paraId="70986B4C"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D</w:t>
            </w:r>
          </w:p>
        </w:tc>
        <w:tc>
          <w:tcPr>
            <w:tcW w:w="1915" w:type="dxa"/>
          </w:tcPr>
          <w:p w14:paraId="22594297"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0.224</w:t>
            </w:r>
          </w:p>
        </w:tc>
      </w:tr>
      <w:tr w:rsidR="009C6DFA" w14:paraId="43330467" w14:textId="77777777">
        <w:tc>
          <w:tcPr>
            <w:tcW w:w="1915" w:type="dxa"/>
          </w:tcPr>
          <w:p w14:paraId="529A5483"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E</w:t>
            </w:r>
          </w:p>
        </w:tc>
        <w:tc>
          <w:tcPr>
            <w:tcW w:w="1915" w:type="dxa"/>
          </w:tcPr>
          <w:p w14:paraId="05A9190F"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0.670</w:t>
            </w:r>
          </w:p>
        </w:tc>
      </w:tr>
      <w:tr w:rsidR="009C6DFA" w14:paraId="0DB1D1B4" w14:textId="77777777">
        <w:tc>
          <w:tcPr>
            <w:tcW w:w="1915" w:type="dxa"/>
          </w:tcPr>
          <w:p w14:paraId="173CC6DA" w14:textId="77777777" w:rsidR="009C6DFA" w:rsidRDefault="00000000">
            <w:pPr>
              <w:tabs>
                <w:tab w:val="left" w:pos="360"/>
              </w:tabs>
              <w:jc w:val="center"/>
              <w:rPr>
                <w:rFonts w:ascii="Arial" w:hAnsi="Arial" w:cs="Arial"/>
                <w:bCs/>
                <w:sz w:val="18"/>
                <w:szCs w:val="18"/>
              </w:rPr>
            </w:pPr>
            <w:r>
              <w:rPr>
                <w:rFonts w:ascii="Arial" w:hAnsi="Arial" w:cs="Arial"/>
                <w:bCs/>
                <w:sz w:val="18"/>
                <w:szCs w:val="18"/>
              </w:rPr>
              <w:t>F</w:t>
            </w:r>
          </w:p>
        </w:tc>
        <w:tc>
          <w:tcPr>
            <w:tcW w:w="1915" w:type="dxa"/>
          </w:tcPr>
          <w:p w14:paraId="11A54E19" w14:textId="77777777" w:rsidR="009C6DFA" w:rsidRDefault="00000000">
            <w:pPr>
              <w:tabs>
                <w:tab w:val="left" w:pos="360"/>
              </w:tabs>
              <w:jc w:val="center"/>
              <w:rPr>
                <w:rFonts w:ascii="Arial" w:hAnsi="Arial" w:cs="Arial"/>
                <w:bCs/>
                <w:sz w:val="18"/>
                <w:szCs w:val="18"/>
                <w:lang w:val="en-GB"/>
              </w:rPr>
            </w:pPr>
            <w:r>
              <w:rPr>
                <w:rFonts w:ascii="Arial" w:hAnsi="Arial" w:cs="Arial"/>
                <w:bCs/>
                <w:sz w:val="18"/>
                <w:szCs w:val="18"/>
              </w:rPr>
              <w:t>1.54</w:t>
            </w:r>
            <w:r>
              <w:rPr>
                <w:rFonts w:ascii="Arial" w:hAnsi="Arial" w:cs="Arial"/>
                <w:bCs/>
                <w:sz w:val="18"/>
                <w:szCs w:val="18"/>
                <w:lang w:val="en-GB"/>
              </w:rPr>
              <w:t>4</w:t>
            </w:r>
          </w:p>
        </w:tc>
      </w:tr>
    </w:tbl>
    <w:p w14:paraId="79C697D7" w14:textId="77777777" w:rsidR="009C6DFA" w:rsidRDefault="00000000">
      <w:pPr>
        <w:tabs>
          <w:tab w:val="left" w:pos="360"/>
        </w:tabs>
        <w:jc w:val="both"/>
        <w:rPr>
          <w:rFonts w:ascii="Arial" w:hAnsi="Arial" w:cs="Arial"/>
          <w:bCs/>
          <w:sz w:val="18"/>
          <w:szCs w:val="18"/>
        </w:rPr>
      </w:pPr>
      <w:r>
        <w:object w:dxaOrig="4198" w:dyaOrig="2939" w14:anchorId="7C632A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9.9pt;height:146.95pt" o:ole="">
            <v:imagedata r:id="rId8" o:title=""/>
          </v:shape>
          <o:OLEObject Type="Embed" ProgID="CorelDraw.Graphic.23" ShapeID="_x0000_i1025" DrawAspect="Content" ObjectID="_1789629471" r:id="rId9"/>
        </w:object>
      </w:r>
    </w:p>
    <w:p w14:paraId="52BC0ED0" w14:textId="77777777" w:rsidR="009C6DFA" w:rsidRDefault="009C6DFA">
      <w:pPr>
        <w:tabs>
          <w:tab w:val="left" w:pos="360"/>
        </w:tabs>
        <w:jc w:val="both"/>
        <w:rPr>
          <w:rFonts w:ascii="Arial" w:hAnsi="Arial" w:cs="Arial"/>
          <w:bCs/>
          <w:sz w:val="18"/>
          <w:szCs w:val="18"/>
        </w:rPr>
      </w:pPr>
    </w:p>
    <w:p w14:paraId="13911735" w14:textId="77777777" w:rsidR="009C6DFA" w:rsidRDefault="00000000">
      <w:pPr>
        <w:tabs>
          <w:tab w:val="left" w:pos="360"/>
        </w:tabs>
        <w:jc w:val="both"/>
        <w:rPr>
          <w:rFonts w:ascii="Arial" w:hAnsi="Arial" w:cs="Arial"/>
          <w:bCs/>
          <w:sz w:val="18"/>
          <w:szCs w:val="18"/>
        </w:rPr>
      </w:pPr>
      <w:r>
        <w:rPr>
          <w:rFonts w:ascii="Arial" w:hAnsi="Arial" w:cs="Arial"/>
          <w:bCs/>
          <w:sz w:val="18"/>
          <w:szCs w:val="18"/>
        </w:rPr>
        <w:t xml:space="preserve">This Standard curve is for the purpose of illustration </w:t>
      </w:r>
      <w:proofErr w:type="gramStart"/>
      <w:r>
        <w:rPr>
          <w:rFonts w:ascii="Arial" w:hAnsi="Arial" w:cs="Arial"/>
          <w:bCs/>
          <w:sz w:val="18"/>
          <w:szCs w:val="18"/>
        </w:rPr>
        <w:t>only, and</w:t>
      </w:r>
      <w:proofErr w:type="gramEnd"/>
      <w:r>
        <w:rPr>
          <w:rFonts w:ascii="Arial" w:hAnsi="Arial" w:cs="Arial"/>
          <w:bCs/>
          <w:sz w:val="18"/>
          <w:szCs w:val="18"/>
        </w:rPr>
        <w:t xml:space="preserve"> should not be used to calculate samples. Each user should obtain his or her own standard curve and data.</w:t>
      </w:r>
    </w:p>
    <w:p w14:paraId="40341755" w14:textId="77777777" w:rsidR="009C6DFA" w:rsidRDefault="009C6DFA">
      <w:pPr>
        <w:tabs>
          <w:tab w:val="left" w:pos="360"/>
        </w:tabs>
        <w:ind w:leftChars="49" w:left="98"/>
        <w:jc w:val="both"/>
        <w:rPr>
          <w:rFonts w:ascii="Arial" w:hAnsi="Arial" w:cs="Arial"/>
          <w:bCs/>
          <w:sz w:val="18"/>
          <w:szCs w:val="18"/>
        </w:rPr>
      </w:pPr>
    </w:p>
    <w:p w14:paraId="73E5DC8D" w14:textId="77777777" w:rsidR="00E37F1B" w:rsidRDefault="00E37F1B">
      <w:pPr>
        <w:tabs>
          <w:tab w:val="left" w:pos="360"/>
        </w:tabs>
        <w:ind w:leftChars="49" w:left="98" w:firstLineChars="350" w:firstLine="630"/>
        <w:jc w:val="both"/>
        <w:rPr>
          <w:rFonts w:ascii="Arial" w:hAnsi="Arial" w:cs="Arial"/>
          <w:bCs/>
          <w:sz w:val="18"/>
          <w:szCs w:val="18"/>
        </w:rPr>
      </w:pPr>
    </w:p>
    <w:p w14:paraId="51030220" w14:textId="77777777" w:rsidR="009C6DFA" w:rsidRDefault="00000000" w:rsidP="00E37F1B">
      <w:pPr>
        <w:tabs>
          <w:tab w:val="left" w:pos="360"/>
        </w:tabs>
        <w:ind w:left="97" w:hangingChars="54" w:hanging="97"/>
        <w:jc w:val="both"/>
        <w:rPr>
          <w:rFonts w:ascii="Arial" w:hAnsi="Arial" w:cs="Arial"/>
          <w:bCs/>
          <w:sz w:val="18"/>
          <w:szCs w:val="18"/>
        </w:rPr>
      </w:pPr>
      <w:r>
        <w:rPr>
          <w:rFonts w:ascii="Arial" w:hAnsi="Arial" w:cs="Arial"/>
          <w:bCs/>
          <w:sz w:val="18"/>
          <w:szCs w:val="18"/>
        </w:rPr>
        <w:t xml:space="preserve">Expected Ranges of values </w:t>
      </w:r>
    </w:p>
    <w:p w14:paraId="7B755499" w14:textId="77777777" w:rsidR="009C6DFA" w:rsidRDefault="00000000" w:rsidP="00E37F1B">
      <w:pPr>
        <w:numPr>
          <w:ilvl w:val="0"/>
          <w:numId w:val="7"/>
        </w:numPr>
        <w:tabs>
          <w:tab w:val="left" w:pos="360"/>
        </w:tabs>
        <w:ind w:hanging="1"/>
        <w:jc w:val="both"/>
        <w:rPr>
          <w:rFonts w:ascii="Arial" w:hAnsi="Arial" w:cs="Arial"/>
          <w:bCs/>
          <w:sz w:val="18"/>
          <w:szCs w:val="18"/>
        </w:rPr>
      </w:pPr>
      <w:r>
        <w:rPr>
          <w:rFonts w:ascii="Arial" w:hAnsi="Arial" w:cs="Arial"/>
          <w:bCs/>
          <w:sz w:val="18"/>
          <w:szCs w:val="18"/>
        </w:rPr>
        <w:t xml:space="preserve">Peptide values are consistently higher in plasma than in serum; thus, serum is preferred. Compared with fasting values in non-obese non-diabetic individuals, C-Peptide levels are higher in obese non-diabetic subjects and lower in trained athletes. </w:t>
      </w:r>
    </w:p>
    <w:p w14:paraId="5F3B5CA7"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 xml:space="preserve">Each laboratory is advised to establish its own ranges for normal and abnormal populations. These ranges are always dependent upon locale, population, laboratory, technique and specificity of the method. </w:t>
      </w:r>
    </w:p>
    <w:p w14:paraId="035E623D" w14:textId="77777777" w:rsidR="009C6DFA" w:rsidRDefault="009C6DFA">
      <w:pPr>
        <w:tabs>
          <w:tab w:val="left" w:pos="360"/>
        </w:tabs>
        <w:ind w:leftChars="360" w:left="720"/>
        <w:jc w:val="both"/>
        <w:rPr>
          <w:rFonts w:ascii="Arial" w:hAnsi="Arial" w:cs="Arial"/>
          <w:bCs/>
          <w:sz w:val="18"/>
          <w:szCs w:val="18"/>
        </w:rPr>
      </w:pPr>
    </w:p>
    <w:p w14:paraId="56EB8365"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 xml:space="preserve">Adult (Normal) 0.7 – 1.9 ng/ml </w:t>
      </w:r>
    </w:p>
    <w:p w14:paraId="241C8D3D" w14:textId="77777777" w:rsidR="009C6DFA" w:rsidRDefault="009C6DFA" w:rsidP="00E37F1B">
      <w:pPr>
        <w:tabs>
          <w:tab w:val="left" w:pos="360"/>
        </w:tabs>
        <w:jc w:val="both"/>
        <w:rPr>
          <w:rFonts w:ascii="Arial" w:hAnsi="Arial" w:cs="Arial"/>
          <w:bCs/>
          <w:sz w:val="18"/>
          <w:szCs w:val="18"/>
        </w:rPr>
      </w:pPr>
    </w:p>
    <w:p w14:paraId="766324F0"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 xml:space="preserve">The minimum detectable concentration of C-Peptide by this assay is estimated to be 0.03 ng/ml </w:t>
      </w:r>
    </w:p>
    <w:p w14:paraId="548D0BD7" w14:textId="77777777" w:rsidR="009C6DFA" w:rsidRDefault="009C6DFA" w:rsidP="00E37F1B">
      <w:pPr>
        <w:tabs>
          <w:tab w:val="left" w:pos="360"/>
        </w:tabs>
        <w:jc w:val="both"/>
        <w:rPr>
          <w:rFonts w:ascii="Arial" w:hAnsi="Arial" w:cs="Arial"/>
          <w:bCs/>
          <w:sz w:val="18"/>
          <w:szCs w:val="18"/>
        </w:rPr>
      </w:pPr>
    </w:p>
    <w:p w14:paraId="420C0C4D"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 xml:space="preserve">PERFORMANCE CHARACTERISTICS </w:t>
      </w:r>
    </w:p>
    <w:p w14:paraId="6340AD9A" w14:textId="77777777" w:rsidR="009C6DFA" w:rsidRDefault="00000000" w:rsidP="00E37F1B">
      <w:pPr>
        <w:tabs>
          <w:tab w:val="left" w:pos="709"/>
        </w:tabs>
        <w:ind w:left="426" w:hanging="426"/>
        <w:jc w:val="both"/>
        <w:rPr>
          <w:rFonts w:ascii="Arial" w:hAnsi="Arial" w:cs="Arial"/>
          <w:bCs/>
          <w:sz w:val="18"/>
          <w:szCs w:val="18"/>
        </w:rPr>
      </w:pPr>
      <w:r>
        <w:rPr>
          <w:rFonts w:ascii="Arial" w:hAnsi="Arial" w:cs="Arial"/>
          <w:bCs/>
          <w:sz w:val="18"/>
          <w:szCs w:val="18"/>
        </w:rPr>
        <w:t>A) Internal Evaluation:</w:t>
      </w:r>
    </w:p>
    <w:p w14:paraId="4350DFA9" w14:textId="77777777" w:rsidR="009C6DFA" w:rsidRDefault="00000000" w:rsidP="00E37F1B">
      <w:pPr>
        <w:pStyle w:val="ListParagraph"/>
        <w:numPr>
          <w:ilvl w:val="1"/>
          <w:numId w:val="4"/>
        </w:numPr>
        <w:tabs>
          <w:tab w:val="left" w:pos="709"/>
        </w:tabs>
        <w:ind w:left="426" w:hanging="426"/>
        <w:jc w:val="both"/>
        <w:rPr>
          <w:rFonts w:ascii="Arial" w:hAnsi="Arial" w:cs="Arial"/>
          <w:bCs/>
          <w:sz w:val="18"/>
          <w:szCs w:val="18"/>
        </w:rPr>
      </w:pPr>
      <w:r>
        <w:rPr>
          <w:rFonts w:ascii="Arial" w:hAnsi="Arial" w:cs="Arial"/>
          <w:bCs/>
          <w:sz w:val="18"/>
          <w:szCs w:val="18"/>
        </w:rPr>
        <w:t xml:space="preserve">Accuracy: In an internal Study C-Peptide was evaluated against commercially available licensed kit with 90 random clinical samples and C-Peptide has demonstrated 100% clinical correlation with the commercially available licensed kit. </w:t>
      </w:r>
    </w:p>
    <w:p w14:paraId="10A133C2" w14:textId="77777777" w:rsidR="009C6DFA" w:rsidRDefault="00000000" w:rsidP="00E37F1B">
      <w:pPr>
        <w:pStyle w:val="ListParagraph"/>
        <w:numPr>
          <w:ilvl w:val="1"/>
          <w:numId w:val="4"/>
        </w:numPr>
        <w:tabs>
          <w:tab w:val="left" w:pos="709"/>
        </w:tabs>
        <w:ind w:left="426" w:hanging="426"/>
        <w:jc w:val="both"/>
        <w:rPr>
          <w:rFonts w:ascii="Arial" w:hAnsi="Arial" w:cs="Arial"/>
          <w:bCs/>
          <w:sz w:val="18"/>
          <w:szCs w:val="18"/>
        </w:rPr>
      </w:pPr>
      <w:r>
        <w:rPr>
          <w:rFonts w:ascii="Arial" w:hAnsi="Arial" w:cs="Arial"/>
          <w:bCs/>
          <w:sz w:val="18"/>
          <w:szCs w:val="18"/>
        </w:rPr>
        <w:t>Precision: C-Peptide was evaluated with licensed external Quality controls for Precision Studies &amp; following is the data:</w:t>
      </w:r>
    </w:p>
    <w:p w14:paraId="4CB128D8" w14:textId="77777777" w:rsidR="009C6DFA" w:rsidRDefault="009C6DFA" w:rsidP="00E37F1B">
      <w:pPr>
        <w:tabs>
          <w:tab w:val="left" w:pos="360"/>
        </w:tabs>
        <w:jc w:val="both"/>
        <w:rPr>
          <w:rFonts w:ascii="Arial" w:hAnsi="Arial" w:cs="Arial"/>
          <w:bCs/>
          <w:sz w:val="18"/>
          <w:szCs w:val="18"/>
        </w:rPr>
      </w:pPr>
    </w:p>
    <w:tbl>
      <w:tblPr>
        <w:tblStyle w:val="TableGrid"/>
        <w:tblW w:w="4018" w:type="dxa"/>
        <w:tblInd w:w="720" w:type="dxa"/>
        <w:tblLayout w:type="fixed"/>
        <w:tblLook w:val="04A0" w:firstRow="1" w:lastRow="0" w:firstColumn="1" w:lastColumn="0" w:noHBand="0" w:noVBand="1"/>
      </w:tblPr>
      <w:tblGrid>
        <w:gridCol w:w="887"/>
        <w:gridCol w:w="837"/>
        <w:gridCol w:w="999"/>
        <w:gridCol w:w="1295"/>
      </w:tblGrid>
      <w:tr w:rsidR="009C6DFA" w14:paraId="6606EAA8" w14:textId="77777777">
        <w:trPr>
          <w:trHeight w:val="571"/>
        </w:trPr>
        <w:tc>
          <w:tcPr>
            <w:tcW w:w="887" w:type="dxa"/>
          </w:tcPr>
          <w:p w14:paraId="4378C64D"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Controls</w:t>
            </w:r>
          </w:p>
        </w:tc>
        <w:tc>
          <w:tcPr>
            <w:tcW w:w="837" w:type="dxa"/>
          </w:tcPr>
          <w:p w14:paraId="0B5C5E07"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p>
        </w:tc>
        <w:tc>
          <w:tcPr>
            <w:tcW w:w="999" w:type="dxa"/>
          </w:tcPr>
          <w:p w14:paraId="718FF527"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 xml:space="preserve">Mean Control values with </w:t>
            </w:r>
            <w:r>
              <w:rPr>
                <w:rFonts w:ascii="Arial" w:hAnsi="Arial" w:cs="Arial"/>
                <w:b/>
                <w:sz w:val="18"/>
                <w:szCs w:val="18"/>
              </w:rPr>
              <w:t>C- Peptide</w:t>
            </w:r>
          </w:p>
        </w:tc>
        <w:tc>
          <w:tcPr>
            <w:tcW w:w="1295" w:type="dxa"/>
          </w:tcPr>
          <w:p w14:paraId="3ABCC55D" w14:textId="77777777" w:rsidR="009C6DFA" w:rsidRDefault="00000000" w:rsidP="00E37F1B">
            <w:pPr>
              <w:tabs>
                <w:tab w:val="left" w:pos="360"/>
              </w:tabs>
              <w:rPr>
                <w:rFonts w:ascii="Arial" w:hAnsi="Arial" w:cs="Arial"/>
                <w:bCs/>
                <w:sz w:val="18"/>
                <w:szCs w:val="18"/>
              </w:rPr>
            </w:pPr>
            <w:r>
              <w:rPr>
                <w:rFonts w:ascii="Arial" w:hAnsi="Arial" w:cs="Arial"/>
                <w:bCs/>
                <w:sz w:val="18"/>
                <w:szCs w:val="18"/>
              </w:rPr>
              <w:t>Coefficient of Variation</w:t>
            </w:r>
            <w:r>
              <w:rPr>
                <w:rFonts w:ascii="Arial" w:hAnsi="Arial" w:cs="Arial"/>
                <w:bCs/>
                <w:sz w:val="18"/>
                <w:szCs w:val="18"/>
              </w:rPr>
              <w:tab/>
              <w:t xml:space="preserve"> (CV)</w:t>
            </w:r>
          </w:p>
          <w:p w14:paraId="76EC65B6" w14:textId="77777777" w:rsidR="009C6DFA" w:rsidRDefault="009C6DFA" w:rsidP="00E37F1B">
            <w:pPr>
              <w:tabs>
                <w:tab w:val="left" w:pos="360"/>
              </w:tabs>
              <w:jc w:val="center"/>
              <w:rPr>
                <w:rFonts w:ascii="Arial" w:hAnsi="Arial" w:cs="Arial"/>
                <w:bCs/>
                <w:sz w:val="18"/>
                <w:szCs w:val="18"/>
              </w:rPr>
            </w:pPr>
          </w:p>
        </w:tc>
      </w:tr>
      <w:tr w:rsidR="009C6DFA" w14:paraId="1CEAA778" w14:textId="77777777">
        <w:trPr>
          <w:trHeight w:val="185"/>
        </w:trPr>
        <w:tc>
          <w:tcPr>
            <w:tcW w:w="887" w:type="dxa"/>
          </w:tcPr>
          <w:p w14:paraId="32650C78" w14:textId="77777777" w:rsidR="009C6DFA" w:rsidRDefault="00000000" w:rsidP="00E37F1B">
            <w:pPr>
              <w:tabs>
                <w:tab w:val="left" w:pos="360"/>
              </w:tabs>
              <w:jc w:val="both"/>
              <w:rPr>
                <w:rFonts w:ascii="Arial" w:hAnsi="Arial" w:cs="Arial"/>
                <w:bCs/>
                <w:sz w:val="18"/>
                <w:szCs w:val="18"/>
              </w:rPr>
            </w:pPr>
            <w:proofErr w:type="gramStart"/>
            <w:r>
              <w:rPr>
                <w:rFonts w:ascii="Arial" w:hAnsi="Arial" w:cs="Arial"/>
                <w:bCs/>
                <w:sz w:val="18"/>
                <w:szCs w:val="18"/>
              </w:rPr>
              <w:t>Level  1</w:t>
            </w:r>
            <w:proofErr w:type="gramEnd"/>
            <w:r>
              <w:rPr>
                <w:rFonts w:ascii="Arial" w:hAnsi="Arial" w:cs="Arial"/>
                <w:bCs/>
                <w:sz w:val="18"/>
                <w:szCs w:val="18"/>
              </w:rPr>
              <w:t xml:space="preserve"> </w:t>
            </w:r>
          </w:p>
        </w:tc>
        <w:tc>
          <w:tcPr>
            <w:tcW w:w="837" w:type="dxa"/>
          </w:tcPr>
          <w:p w14:paraId="699C1E79"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10</w:t>
            </w:r>
          </w:p>
        </w:tc>
        <w:tc>
          <w:tcPr>
            <w:tcW w:w="999" w:type="dxa"/>
          </w:tcPr>
          <w:p w14:paraId="254A01B8"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0.462</w:t>
            </w:r>
          </w:p>
        </w:tc>
        <w:tc>
          <w:tcPr>
            <w:tcW w:w="1295" w:type="dxa"/>
          </w:tcPr>
          <w:p w14:paraId="2330A9B1" w14:textId="77777777" w:rsidR="009C6DFA" w:rsidRDefault="00000000" w:rsidP="00E37F1B">
            <w:pPr>
              <w:tabs>
                <w:tab w:val="left" w:pos="360"/>
              </w:tabs>
              <w:jc w:val="center"/>
              <w:rPr>
                <w:rFonts w:ascii="Arial" w:hAnsi="Arial" w:cs="Arial"/>
                <w:bCs/>
                <w:sz w:val="18"/>
                <w:szCs w:val="18"/>
              </w:rPr>
            </w:pPr>
            <w:r>
              <w:rPr>
                <w:rFonts w:ascii="Arial" w:hAnsi="Arial" w:cs="Arial"/>
                <w:bCs/>
                <w:sz w:val="18"/>
                <w:szCs w:val="18"/>
              </w:rPr>
              <w:t>8.52</w:t>
            </w:r>
          </w:p>
        </w:tc>
      </w:tr>
      <w:tr w:rsidR="009C6DFA" w14:paraId="1E09D246" w14:textId="77777777">
        <w:trPr>
          <w:trHeight w:val="185"/>
        </w:trPr>
        <w:tc>
          <w:tcPr>
            <w:tcW w:w="887" w:type="dxa"/>
          </w:tcPr>
          <w:p w14:paraId="71277AF6" w14:textId="77777777" w:rsidR="009C6DFA" w:rsidRDefault="00000000" w:rsidP="00E37F1B">
            <w:pPr>
              <w:tabs>
                <w:tab w:val="left" w:pos="360"/>
              </w:tabs>
              <w:jc w:val="both"/>
              <w:rPr>
                <w:rFonts w:ascii="Arial" w:hAnsi="Arial" w:cs="Arial"/>
                <w:bCs/>
                <w:sz w:val="18"/>
                <w:szCs w:val="18"/>
              </w:rPr>
            </w:pPr>
            <w:proofErr w:type="gramStart"/>
            <w:r>
              <w:rPr>
                <w:rFonts w:ascii="Arial" w:hAnsi="Arial" w:cs="Arial"/>
                <w:bCs/>
                <w:sz w:val="18"/>
                <w:szCs w:val="18"/>
              </w:rPr>
              <w:t>Level  2</w:t>
            </w:r>
            <w:proofErr w:type="gramEnd"/>
          </w:p>
        </w:tc>
        <w:tc>
          <w:tcPr>
            <w:tcW w:w="837" w:type="dxa"/>
          </w:tcPr>
          <w:p w14:paraId="12A51D71"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10</w:t>
            </w:r>
          </w:p>
        </w:tc>
        <w:tc>
          <w:tcPr>
            <w:tcW w:w="999" w:type="dxa"/>
          </w:tcPr>
          <w:p w14:paraId="63672515"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3.96</w:t>
            </w:r>
          </w:p>
        </w:tc>
        <w:tc>
          <w:tcPr>
            <w:tcW w:w="1295" w:type="dxa"/>
          </w:tcPr>
          <w:p w14:paraId="070676D7" w14:textId="77777777" w:rsidR="009C6DFA" w:rsidRDefault="00000000" w:rsidP="00E37F1B">
            <w:pPr>
              <w:tabs>
                <w:tab w:val="left" w:pos="360"/>
              </w:tabs>
              <w:jc w:val="center"/>
              <w:rPr>
                <w:rFonts w:ascii="Arial" w:hAnsi="Arial" w:cs="Arial"/>
                <w:bCs/>
                <w:sz w:val="18"/>
                <w:szCs w:val="18"/>
              </w:rPr>
            </w:pPr>
            <w:r>
              <w:rPr>
                <w:rFonts w:ascii="Arial" w:hAnsi="Arial" w:cs="Arial"/>
                <w:bCs/>
                <w:sz w:val="18"/>
                <w:szCs w:val="18"/>
              </w:rPr>
              <w:t>7.25</w:t>
            </w:r>
          </w:p>
        </w:tc>
      </w:tr>
      <w:tr w:rsidR="009C6DFA" w14:paraId="715A9ADA" w14:textId="77777777">
        <w:trPr>
          <w:trHeight w:val="185"/>
        </w:trPr>
        <w:tc>
          <w:tcPr>
            <w:tcW w:w="887" w:type="dxa"/>
          </w:tcPr>
          <w:p w14:paraId="79D49BCC" w14:textId="77777777" w:rsidR="009C6DFA" w:rsidRDefault="00000000" w:rsidP="00E37F1B">
            <w:pPr>
              <w:tabs>
                <w:tab w:val="left" w:pos="360"/>
              </w:tabs>
              <w:jc w:val="both"/>
              <w:rPr>
                <w:rFonts w:ascii="Arial" w:hAnsi="Arial" w:cs="Arial"/>
                <w:bCs/>
                <w:sz w:val="18"/>
                <w:szCs w:val="18"/>
              </w:rPr>
            </w:pPr>
            <w:proofErr w:type="gramStart"/>
            <w:r>
              <w:rPr>
                <w:rFonts w:ascii="Arial" w:hAnsi="Arial" w:cs="Arial"/>
                <w:bCs/>
                <w:sz w:val="18"/>
                <w:szCs w:val="18"/>
              </w:rPr>
              <w:t>Level  3</w:t>
            </w:r>
            <w:proofErr w:type="gramEnd"/>
          </w:p>
        </w:tc>
        <w:tc>
          <w:tcPr>
            <w:tcW w:w="837" w:type="dxa"/>
          </w:tcPr>
          <w:p w14:paraId="6C69CF2D"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10</w:t>
            </w:r>
          </w:p>
        </w:tc>
        <w:tc>
          <w:tcPr>
            <w:tcW w:w="999" w:type="dxa"/>
          </w:tcPr>
          <w:p w14:paraId="323DEB1B"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5.32</w:t>
            </w:r>
          </w:p>
        </w:tc>
        <w:tc>
          <w:tcPr>
            <w:tcW w:w="1295" w:type="dxa"/>
          </w:tcPr>
          <w:p w14:paraId="0C714B18" w14:textId="77777777" w:rsidR="009C6DFA" w:rsidRDefault="00000000" w:rsidP="00E37F1B">
            <w:pPr>
              <w:tabs>
                <w:tab w:val="left" w:pos="360"/>
              </w:tabs>
              <w:jc w:val="center"/>
              <w:rPr>
                <w:rFonts w:ascii="Arial" w:hAnsi="Arial" w:cs="Arial"/>
                <w:bCs/>
                <w:sz w:val="18"/>
                <w:szCs w:val="18"/>
              </w:rPr>
            </w:pPr>
            <w:r>
              <w:rPr>
                <w:rFonts w:ascii="Arial" w:hAnsi="Arial" w:cs="Arial"/>
                <w:bCs/>
                <w:sz w:val="18"/>
                <w:szCs w:val="18"/>
              </w:rPr>
              <w:t>6.47</w:t>
            </w:r>
          </w:p>
        </w:tc>
      </w:tr>
    </w:tbl>
    <w:p w14:paraId="3BF393CF" w14:textId="77777777" w:rsidR="009C6DFA" w:rsidRDefault="009C6DFA" w:rsidP="00E37F1B">
      <w:pPr>
        <w:tabs>
          <w:tab w:val="left" w:pos="360"/>
        </w:tabs>
        <w:jc w:val="both"/>
        <w:rPr>
          <w:rFonts w:ascii="Arial" w:hAnsi="Arial" w:cs="Arial"/>
          <w:bCs/>
          <w:sz w:val="18"/>
          <w:szCs w:val="18"/>
        </w:rPr>
      </w:pPr>
    </w:p>
    <w:p w14:paraId="0A7A345C" w14:textId="77777777" w:rsidR="009C6DFA" w:rsidRDefault="009C6DFA" w:rsidP="00E37F1B">
      <w:pPr>
        <w:tabs>
          <w:tab w:val="left" w:pos="360"/>
        </w:tabs>
        <w:jc w:val="both"/>
        <w:rPr>
          <w:rFonts w:ascii="Arial" w:hAnsi="Arial" w:cs="Arial"/>
          <w:bCs/>
          <w:sz w:val="18"/>
          <w:szCs w:val="18"/>
        </w:rPr>
      </w:pPr>
    </w:p>
    <w:p w14:paraId="0D375DD4" w14:textId="77777777" w:rsidR="009C6DFA" w:rsidRDefault="00000000" w:rsidP="00E37F1B">
      <w:pPr>
        <w:tabs>
          <w:tab w:val="left" w:pos="360"/>
        </w:tabs>
        <w:jc w:val="both"/>
        <w:rPr>
          <w:rFonts w:ascii="Arial" w:hAnsi="Arial" w:cs="Arial"/>
          <w:bCs/>
          <w:sz w:val="18"/>
          <w:szCs w:val="18"/>
        </w:rPr>
      </w:pPr>
      <w:r>
        <w:rPr>
          <w:rFonts w:ascii="Arial" w:hAnsi="Arial" w:cs="Arial"/>
          <w:bCs/>
          <w:sz w:val="18"/>
          <w:szCs w:val="18"/>
        </w:rPr>
        <w:t>B) External Evaluation:</w:t>
      </w:r>
    </w:p>
    <w:p w14:paraId="20174E88" w14:textId="77777777" w:rsidR="009C6DFA" w:rsidRDefault="00000000" w:rsidP="00E37F1B">
      <w:pPr>
        <w:pStyle w:val="ListParagraph"/>
        <w:tabs>
          <w:tab w:val="left" w:pos="360"/>
        </w:tabs>
        <w:ind w:left="0"/>
        <w:jc w:val="both"/>
        <w:rPr>
          <w:rFonts w:ascii="Arial" w:hAnsi="Arial" w:cs="Arial"/>
          <w:bCs/>
          <w:sz w:val="18"/>
          <w:szCs w:val="18"/>
        </w:rPr>
      </w:pPr>
      <w:r>
        <w:rPr>
          <w:rFonts w:ascii="Arial" w:hAnsi="Arial" w:cs="Arial"/>
          <w:bCs/>
          <w:sz w:val="18"/>
          <w:szCs w:val="18"/>
        </w:rPr>
        <w:t xml:space="preserve">C-Peptide ELISA has been evaluated by a NABL accredited lab against their reference method. In this evaluation C-Peptide ELISA has demonstrated 100% correlation with the reference method. </w:t>
      </w:r>
    </w:p>
    <w:p w14:paraId="392C79F1" w14:textId="77777777" w:rsidR="009C6DFA" w:rsidRDefault="00000000" w:rsidP="00E37F1B">
      <w:pPr>
        <w:pStyle w:val="ListParagraph"/>
        <w:tabs>
          <w:tab w:val="left" w:pos="360"/>
        </w:tabs>
        <w:ind w:left="0"/>
        <w:jc w:val="both"/>
        <w:rPr>
          <w:rFonts w:ascii="Arial" w:hAnsi="Arial" w:cs="Arial"/>
          <w:bCs/>
          <w:sz w:val="18"/>
          <w:szCs w:val="18"/>
        </w:rPr>
      </w:pPr>
      <w:r>
        <w:rPr>
          <w:rFonts w:ascii="Arial" w:hAnsi="Arial" w:cs="Arial"/>
          <w:bCs/>
          <w:sz w:val="18"/>
          <w:szCs w:val="18"/>
        </w:rPr>
        <w:t xml:space="preserve">*Data file: Orchid Biomedical Systems (P) Ltd. </w:t>
      </w:r>
    </w:p>
    <w:p w14:paraId="7398EC50" w14:textId="77777777" w:rsidR="00E37F1B" w:rsidRDefault="00E37F1B" w:rsidP="00E37F1B">
      <w:pPr>
        <w:pStyle w:val="ListParagraph"/>
        <w:tabs>
          <w:tab w:val="left" w:pos="360"/>
        </w:tabs>
        <w:ind w:left="0"/>
        <w:jc w:val="both"/>
        <w:rPr>
          <w:rFonts w:ascii="Arial" w:hAnsi="Arial" w:cs="Arial"/>
          <w:bCs/>
          <w:sz w:val="18"/>
          <w:szCs w:val="18"/>
        </w:rPr>
      </w:pPr>
    </w:p>
    <w:p w14:paraId="7A4EF7C7" w14:textId="77777777" w:rsidR="009C6DFA" w:rsidRDefault="00000000" w:rsidP="00E37F1B">
      <w:pPr>
        <w:pStyle w:val="ListParagraph"/>
        <w:ind w:left="426" w:hanging="426"/>
        <w:jc w:val="both"/>
        <w:rPr>
          <w:rFonts w:ascii="Arial" w:hAnsi="Arial" w:cs="Arial"/>
          <w:bCs/>
          <w:sz w:val="18"/>
          <w:szCs w:val="18"/>
        </w:rPr>
      </w:pPr>
      <w:r>
        <w:rPr>
          <w:rFonts w:ascii="Arial" w:hAnsi="Arial" w:cs="Arial"/>
          <w:bCs/>
          <w:sz w:val="18"/>
          <w:szCs w:val="18"/>
        </w:rPr>
        <w:t xml:space="preserve">IMPORTANT NOTE </w:t>
      </w:r>
    </w:p>
    <w:p w14:paraId="42847658" w14:textId="77777777" w:rsidR="009C6DFA" w:rsidRPr="00E37F1B" w:rsidRDefault="00000000" w:rsidP="00E37F1B">
      <w:pPr>
        <w:pStyle w:val="ListParagraph"/>
        <w:numPr>
          <w:ilvl w:val="0"/>
          <w:numId w:val="12"/>
        </w:numPr>
        <w:tabs>
          <w:tab w:val="left" w:pos="360"/>
        </w:tabs>
        <w:ind w:left="426"/>
        <w:jc w:val="both"/>
        <w:rPr>
          <w:rFonts w:ascii="Arial" w:hAnsi="Arial" w:cs="Arial"/>
          <w:bCs/>
          <w:sz w:val="18"/>
          <w:szCs w:val="18"/>
        </w:rPr>
      </w:pPr>
      <w:r w:rsidRPr="00E37F1B">
        <w:rPr>
          <w:rFonts w:ascii="Arial" w:hAnsi="Arial" w:cs="Arial"/>
          <w:bCs/>
          <w:sz w:val="18"/>
          <w:szCs w:val="18"/>
        </w:rPr>
        <w:t xml:space="preserve">The wash procedure is critical. Insufficient washing will result in poor precision and falsely elevated absorbance readings. </w:t>
      </w:r>
    </w:p>
    <w:p w14:paraId="6EBCDAEB" w14:textId="77777777" w:rsidR="009C6DFA" w:rsidRPr="00E37F1B" w:rsidRDefault="00000000" w:rsidP="00E37F1B">
      <w:pPr>
        <w:pStyle w:val="ListParagraph"/>
        <w:numPr>
          <w:ilvl w:val="0"/>
          <w:numId w:val="12"/>
        </w:numPr>
        <w:tabs>
          <w:tab w:val="left" w:pos="360"/>
        </w:tabs>
        <w:ind w:left="426"/>
        <w:jc w:val="both"/>
        <w:rPr>
          <w:rFonts w:ascii="Arial" w:hAnsi="Arial" w:cs="Arial"/>
          <w:bCs/>
          <w:sz w:val="18"/>
          <w:szCs w:val="18"/>
        </w:rPr>
      </w:pPr>
      <w:r w:rsidRPr="00E37F1B">
        <w:rPr>
          <w:rFonts w:ascii="Arial" w:hAnsi="Arial" w:cs="Arial"/>
          <w:bCs/>
          <w:sz w:val="18"/>
          <w:szCs w:val="18"/>
        </w:rPr>
        <w:t xml:space="preserve">It is recommended to use the </w:t>
      </w:r>
      <w:proofErr w:type="spellStart"/>
      <w:r w:rsidRPr="00E37F1B">
        <w:rPr>
          <w:rFonts w:ascii="Arial" w:hAnsi="Arial" w:cs="Arial"/>
          <w:bCs/>
          <w:sz w:val="18"/>
          <w:szCs w:val="18"/>
        </w:rPr>
        <w:t>multi channel</w:t>
      </w:r>
      <w:proofErr w:type="spellEnd"/>
      <w:r w:rsidRPr="00E37F1B">
        <w:rPr>
          <w:rFonts w:ascii="Arial" w:hAnsi="Arial" w:cs="Arial"/>
          <w:bCs/>
          <w:sz w:val="18"/>
          <w:szCs w:val="18"/>
        </w:rPr>
        <w:t xml:space="preserve"> pipettes to avoid time effect. A full plate of 96 wells may be used if automated pipetting is available. </w:t>
      </w:r>
    </w:p>
    <w:p w14:paraId="5E27581D" w14:textId="77777777" w:rsidR="009C6DFA" w:rsidRPr="00E37F1B" w:rsidRDefault="00000000" w:rsidP="00E37F1B">
      <w:pPr>
        <w:pStyle w:val="ListParagraph"/>
        <w:numPr>
          <w:ilvl w:val="0"/>
          <w:numId w:val="12"/>
        </w:numPr>
        <w:tabs>
          <w:tab w:val="left" w:pos="360"/>
        </w:tabs>
        <w:jc w:val="both"/>
        <w:rPr>
          <w:rFonts w:ascii="Arial" w:hAnsi="Arial" w:cs="Arial"/>
          <w:bCs/>
          <w:sz w:val="18"/>
          <w:szCs w:val="18"/>
        </w:rPr>
      </w:pPr>
      <w:r w:rsidRPr="00E37F1B">
        <w:rPr>
          <w:rFonts w:ascii="Arial" w:hAnsi="Arial" w:cs="Arial"/>
          <w:bCs/>
          <w:sz w:val="18"/>
          <w:szCs w:val="18"/>
        </w:rPr>
        <w:t xml:space="preserve">Duplication of standards, samples and controls is not mandatory but may provide information on reproducibility &amp; application errors. </w:t>
      </w:r>
    </w:p>
    <w:p w14:paraId="266C3C5C" w14:textId="77777777" w:rsidR="009C6DFA" w:rsidRDefault="009C6DFA">
      <w:pPr>
        <w:pStyle w:val="ListParagraph"/>
        <w:tabs>
          <w:tab w:val="left" w:pos="360"/>
        </w:tabs>
        <w:ind w:leftChars="-200" w:left="-400"/>
        <w:jc w:val="both"/>
        <w:rPr>
          <w:rFonts w:ascii="Arial" w:hAnsi="Arial" w:cs="Arial"/>
          <w:bCs/>
          <w:sz w:val="18"/>
          <w:szCs w:val="18"/>
        </w:rPr>
      </w:pPr>
    </w:p>
    <w:p w14:paraId="21545783" w14:textId="4CAEBE5C" w:rsidR="009C6DFA" w:rsidRDefault="00E37F1B">
      <w:pPr>
        <w:tabs>
          <w:tab w:val="left" w:pos="360"/>
        </w:tabs>
        <w:jc w:val="both"/>
        <w:rPr>
          <w:rFonts w:ascii="Arial" w:hAnsi="Arial" w:cs="Arial"/>
          <w:bCs/>
          <w:sz w:val="18"/>
          <w:szCs w:val="18"/>
        </w:rPr>
      </w:pPr>
      <w:r>
        <w:rPr>
          <w:rFonts w:ascii="Arial" w:hAnsi="Arial" w:cs="Arial"/>
          <w:bCs/>
          <w:sz w:val="18"/>
          <w:szCs w:val="18"/>
        </w:rPr>
        <w:tab/>
      </w:r>
      <w:r w:rsidR="00000000">
        <w:rPr>
          <w:rFonts w:ascii="Arial" w:hAnsi="Arial" w:cs="Arial"/>
          <w:bCs/>
          <w:sz w:val="18"/>
          <w:szCs w:val="18"/>
        </w:rPr>
        <w:t>LIMITATIONS OF THE ASSAY</w:t>
      </w:r>
    </w:p>
    <w:p w14:paraId="3BADF802" w14:textId="77777777" w:rsidR="009C6DFA" w:rsidRPr="00E37F1B" w:rsidRDefault="00000000" w:rsidP="00E37F1B">
      <w:pPr>
        <w:pStyle w:val="ListParagraph"/>
        <w:numPr>
          <w:ilvl w:val="0"/>
          <w:numId w:val="11"/>
        </w:numPr>
        <w:tabs>
          <w:tab w:val="left" w:pos="360"/>
        </w:tabs>
        <w:jc w:val="both"/>
        <w:rPr>
          <w:rFonts w:ascii="Arial" w:hAnsi="Arial" w:cs="Arial"/>
          <w:bCs/>
          <w:sz w:val="18"/>
          <w:szCs w:val="18"/>
        </w:rPr>
      </w:pPr>
      <w:r w:rsidRPr="00E37F1B">
        <w:rPr>
          <w:rFonts w:ascii="Arial" w:hAnsi="Arial" w:cs="Arial"/>
          <w:bCs/>
          <w:sz w:val="18"/>
          <w:szCs w:val="18"/>
        </w:rPr>
        <w:t xml:space="preserve">As with all diagnostic tests, a definite clinical diagnosis should not be based on the results of a single </w:t>
      </w:r>
      <w:proofErr w:type="gramStart"/>
      <w:r w:rsidRPr="00E37F1B">
        <w:rPr>
          <w:rFonts w:ascii="Arial" w:hAnsi="Arial" w:cs="Arial"/>
          <w:bCs/>
          <w:sz w:val="18"/>
          <w:szCs w:val="18"/>
        </w:rPr>
        <w:t>test, but</w:t>
      </w:r>
      <w:proofErr w:type="gramEnd"/>
      <w:r w:rsidRPr="00E37F1B">
        <w:rPr>
          <w:rFonts w:ascii="Arial" w:hAnsi="Arial" w:cs="Arial"/>
          <w:bCs/>
          <w:sz w:val="18"/>
          <w:szCs w:val="18"/>
        </w:rPr>
        <w:t xml:space="preserve"> should only be made by the physician after all clinical and laboratory findings have been evaluated. </w:t>
      </w:r>
    </w:p>
    <w:p w14:paraId="1C104024" w14:textId="77777777" w:rsidR="009C6DFA" w:rsidRPr="00E37F1B" w:rsidRDefault="00000000" w:rsidP="00E37F1B">
      <w:pPr>
        <w:pStyle w:val="ListParagraph"/>
        <w:numPr>
          <w:ilvl w:val="0"/>
          <w:numId w:val="11"/>
        </w:numPr>
        <w:tabs>
          <w:tab w:val="left" w:pos="360"/>
        </w:tabs>
        <w:jc w:val="both"/>
        <w:rPr>
          <w:rFonts w:ascii="Arial" w:hAnsi="Arial" w:cs="Arial"/>
          <w:bCs/>
          <w:sz w:val="18"/>
          <w:szCs w:val="18"/>
        </w:rPr>
      </w:pPr>
      <w:r w:rsidRPr="00E37F1B">
        <w:rPr>
          <w:rFonts w:ascii="Arial" w:hAnsi="Arial" w:cs="Arial"/>
          <w:bCs/>
          <w:sz w:val="18"/>
          <w:szCs w:val="18"/>
        </w:rPr>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 </w:t>
      </w:r>
    </w:p>
    <w:p w14:paraId="36796FA2" w14:textId="77777777" w:rsidR="009C6DFA" w:rsidRPr="00E37F1B" w:rsidRDefault="00000000" w:rsidP="00E37F1B">
      <w:pPr>
        <w:pStyle w:val="ListParagraph"/>
        <w:numPr>
          <w:ilvl w:val="0"/>
          <w:numId w:val="11"/>
        </w:numPr>
        <w:tabs>
          <w:tab w:val="left" w:pos="360"/>
        </w:tabs>
        <w:jc w:val="both"/>
        <w:rPr>
          <w:rFonts w:ascii="Arial" w:hAnsi="Arial" w:cs="Arial"/>
          <w:bCs/>
          <w:sz w:val="18"/>
          <w:szCs w:val="18"/>
        </w:rPr>
      </w:pPr>
      <w:r w:rsidRPr="00E37F1B">
        <w:rPr>
          <w:rFonts w:ascii="Arial" w:hAnsi="Arial" w:cs="Arial"/>
          <w:bCs/>
          <w:sz w:val="18"/>
          <w:szCs w:val="18"/>
        </w:rPr>
        <w:t>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w:t>
      </w:r>
    </w:p>
    <w:p w14:paraId="6BBC696C" w14:textId="77777777" w:rsidR="009C6DFA" w:rsidRPr="00E37F1B" w:rsidRDefault="00000000" w:rsidP="00E37F1B">
      <w:pPr>
        <w:pStyle w:val="ListParagraph"/>
        <w:numPr>
          <w:ilvl w:val="0"/>
          <w:numId w:val="11"/>
        </w:numPr>
        <w:tabs>
          <w:tab w:val="left" w:pos="360"/>
        </w:tabs>
        <w:jc w:val="both"/>
        <w:rPr>
          <w:rFonts w:ascii="Arial" w:hAnsi="Arial" w:cs="Arial"/>
          <w:bCs/>
          <w:sz w:val="18"/>
          <w:szCs w:val="18"/>
        </w:rPr>
      </w:pPr>
      <w:r w:rsidRPr="00E37F1B">
        <w:rPr>
          <w:rFonts w:ascii="Arial" w:hAnsi="Arial" w:cs="Arial"/>
          <w:bCs/>
          <w:sz w:val="18"/>
          <w:szCs w:val="18"/>
        </w:rPr>
        <w:t xml:space="preserve">Insufficient washing (e.g., less than 5 wash cycles, too small wash buffer volumes, or shortened reaction times) can lead to incorrect OD values. </w:t>
      </w:r>
    </w:p>
    <w:p w14:paraId="2C389F30" w14:textId="77777777" w:rsidR="00E37F1B" w:rsidRDefault="00E37F1B">
      <w:pPr>
        <w:tabs>
          <w:tab w:val="left" w:pos="360"/>
        </w:tabs>
        <w:ind w:left="360"/>
        <w:jc w:val="both"/>
        <w:rPr>
          <w:rFonts w:ascii="Arial" w:hAnsi="Arial" w:cs="Arial"/>
          <w:bCs/>
          <w:sz w:val="18"/>
          <w:szCs w:val="18"/>
        </w:rPr>
      </w:pPr>
    </w:p>
    <w:p w14:paraId="509564E6" w14:textId="77777777" w:rsidR="009C6DFA" w:rsidRDefault="00000000">
      <w:pPr>
        <w:tabs>
          <w:tab w:val="left" w:pos="360"/>
        </w:tabs>
        <w:ind w:left="360"/>
        <w:jc w:val="both"/>
        <w:rPr>
          <w:rFonts w:ascii="Arial" w:hAnsi="Arial" w:cs="Arial"/>
          <w:bCs/>
          <w:sz w:val="18"/>
          <w:szCs w:val="18"/>
        </w:rPr>
      </w:pPr>
      <w:r>
        <w:rPr>
          <w:rFonts w:ascii="Arial" w:hAnsi="Arial" w:cs="Arial"/>
          <w:bCs/>
          <w:sz w:val="18"/>
          <w:szCs w:val="18"/>
        </w:rPr>
        <w:t xml:space="preserve">BIBLIOGRAPHY </w:t>
      </w:r>
    </w:p>
    <w:p w14:paraId="0E4CBA27" w14:textId="77777777" w:rsidR="009C6DF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Eastham, R.D.: Biochemical Values in Clinical Medicine, 7</w:t>
      </w:r>
      <w:proofErr w:type="spellStart"/>
      <w:r>
        <w:rPr>
          <w:rFonts w:ascii="Arial" w:hAnsi="Arial" w:cs="Arial"/>
          <w:bCs/>
          <w:sz w:val="20"/>
          <w:szCs w:val="20"/>
          <w:vertAlign w:val="superscript"/>
          <w:lang w:val="en-GB"/>
        </w:rPr>
        <w:t>th</w:t>
      </w:r>
      <w:proofErr w:type="spellEnd"/>
      <w:r>
        <w:rPr>
          <w:rFonts w:ascii="Arial" w:hAnsi="Arial" w:cs="Arial"/>
          <w:bCs/>
          <w:sz w:val="18"/>
          <w:szCs w:val="18"/>
        </w:rPr>
        <w:t xml:space="preserve"> Ed. Bristol. England. John Wright &amp; Sons, Ltd, 1985.</w:t>
      </w:r>
    </w:p>
    <w:p w14:paraId="308E218B" w14:textId="77777777" w:rsidR="009C6DF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Gerbitz, V.K.D., </w:t>
      </w:r>
      <w:proofErr w:type="spellStart"/>
      <w:r>
        <w:rPr>
          <w:rFonts w:ascii="Arial" w:hAnsi="Arial" w:cs="Arial"/>
          <w:bCs/>
          <w:sz w:val="18"/>
          <w:szCs w:val="18"/>
        </w:rPr>
        <w:t>Pancreatische</w:t>
      </w:r>
      <w:proofErr w:type="spellEnd"/>
      <w:r>
        <w:rPr>
          <w:rFonts w:ascii="Arial" w:hAnsi="Arial" w:cs="Arial"/>
          <w:bCs/>
          <w:sz w:val="18"/>
          <w:szCs w:val="18"/>
        </w:rPr>
        <w:t xml:space="preserve"> B-</w:t>
      </w:r>
      <w:proofErr w:type="spellStart"/>
      <w:r>
        <w:rPr>
          <w:rFonts w:ascii="Arial" w:hAnsi="Arial" w:cs="Arial"/>
          <w:bCs/>
          <w:sz w:val="18"/>
          <w:szCs w:val="18"/>
        </w:rPr>
        <w:t>zellen</w:t>
      </w:r>
      <w:proofErr w:type="spellEnd"/>
      <w:r>
        <w:rPr>
          <w:rFonts w:ascii="Arial" w:hAnsi="Arial" w:cs="Arial"/>
          <w:bCs/>
          <w:sz w:val="18"/>
          <w:szCs w:val="18"/>
        </w:rPr>
        <w:t xml:space="preserve"> Peptide: Kinetic and </w:t>
      </w:r>
      <w:proofErr w:type="spellStart"/>
      <w:r>
        <w:rPr>
          <w:rFonts w:ascii="Arial" w:hAnsi="Arial" w:cs="Arial"/>
          <w:bCs/>
          <w:sz w:val="18"/>
          <w:szCs w:val="18"/>
        </w:rPr>
        <w:t>Konzentration</w:t>
      </w:r>
      <w:proofErr w:type="spellEnd"/>
      <w:r>
        <w:rPr>
          <w:rFonts w:ascii="Arial" w:hAnsi="Arial" w:cs="Arial"/>
          <w:bCs/>
          <w:sz w:val="18"/>
          <w:szCs w:val="18"/>
        </w:rPr>
        <w:t xml:space="preserve"> von Proinsulin insulin and C-peptide in Plasma and </w:t>
      </w:r>
      <w:proofErr w:type="spellStart"/>
      <w:r>
        <w:rPr>
          <w:rFonts w:ascii="Arial" w:hAnsi="Arial" w:cs="Arial"/>
          <w:bCs/>
          <w:sz w:val="18"/>
          <w:szCs w:val="18"/>
        </w:rPr>
        <w:t>Urin</w:t>
      </w:r>
      <w:proofErr w:type="spellEnd"/>
      <w:r>
        <w:rPr>
          <w:rFonts w:ascii="Arial" w:hAnsi="Arial" w:cs="Arial"/>
          <w:bCs/>
          <w:sz w:val="18"/>
          <w:szCs w:val="18"/>
        </w:rPr>
        <w:t xml:space="preserve"> </w:t>
      </w:r>
      <w:proofErr w:type="spellStart"/>
      <w:r>
        <w:rPr>
          <w:rFonts w:ascii="Arial" w:hAnsi="Arial" w:cs="Arial"/>
          <w:bCs/>
          <w:sz w:val="18"/>
          <w:szCs w:val="18"/>
        </w:rPr>
        <w:t>Probleme</w:t>
      </w:r>
      <w:proofErr w:type="spellEnd"/>
      <w:r>
        <w:rPr>
          <w:rFonts w:ascii="Arial" w:hAnsi="Arial" w:cs="Arial"/>
          <w:bCs/>
          <w:sz w:val="18"/>
          <w:szCs w:val="18"/>
        </w:rPr>
        <w:t xml:space="preserve"> der </w:t>
      </w:r>
      <w:proofErr w:type="spellStart"/>
      <w:r>
        <w:rPr>
          <w:rFonts w:ascii="Arial" w:hAnsi="Arial" w:cs="Arial"/>
          <w:bCs/>
          <w:sz w:val="18"/>
          <w:szCs w:val="18"/>
        </w:rPr>
        <w:t>Mezmethoden</w:t>
      </w:r>
      <w:proofErr w:type="spellEnd"/>
      <w:r>
        <w:rPr>
          <w:rFonts w:ascii="Arial" w:hAnsi="Arial" w:cs="Arial"/>
          <w:bCs/>
          <w:sz w:val="18"/>
          <w:szCs w:val="18"/>
        </w:rPr>
        <w:t xml:space="preserve"> </w:t>
      </w:r>
      <w:proofErr w:type="spellStart"/>
      <w:r>
        <w:rPr>
          <w:rFonts w:ascii="Arial" w:hAnsi="Arial" w:cs="Arial"/>
          <w:bCs/>
          <w:sz w:val="18"/>
          <w:szCs w:val="18"/>
        </w:rPr>
        <w:t>Klinische</w:t>
      </w:r>
      <w:proofErr w:type="spellEnd"/>
      <w:r>
        <w:rPr>
          <w:rFonts w:ascii="Arial" w:hAnsi="Arial" w:cs="Arial"/>
          <w:bCs/>
          <w:sz w:val="18"/>
          <w:szCs w:val="18"/>
        </w:rPr>
        <w:t xml:space="preserve"> und </w:t>
      </w:r>
      <w:proofErr w:type="spellStart"/>
      <w:r>
        <w:rPr>
          <w:rFonts w:ascii="Arial" w:hAnsi="Arial" w:cs="Arial"/>
          <w:bCs/>
          <w:sz w:val="18"/>
          <w:szCs w:val="18"/>
        </w:rPr>
        <w:t>Literaturubersicht</w:t>
      </w:r>
      <w:proofErr w:type="spellEnd"/>
      <w:r>
        <w:rPr>
          <w:rFonts w:ascii="Arial" w:hAnsi="Arial" w:cs="Arial"/>
          <w:bCs/>
          <w:sz w:val="18"/>
          <w:szCs w:val="18"/>
        </w:rPr>
        <w:t xml:space="preserve">. J. Clin. Chem. </w:t>
      </w:r>
      <w:proofErr w:type="spellStart"/>
      <w:r>
        <w:rPr>
          <w:rFonts w:ascii="Arial" w:hAnsi="Arial" w:cs="Arial"/>
          <w:bCs/>
          <w:sz w:val="18"/>
          <w:szCs w:val="18"/>
        </w:rPr>
        <w:t>Biochem</w:t>
      </w:r>
      <w:proofErr w:type="spellEnd"/>
      <w:r>
        <w:rPr>
          <w:rFonts w:ascii="Arial" w:hAnsi="Arial" w:cs="Arial"/>
          <w:bCs/>
          <w:sz w:val="18"/>
          <w:szCs w:val="18"/>
        </w:rPr>
        <w:t xml:space="preserve">, 18: 313-326, 1980. </w:t>
      </w:r>
    </w:p>
    <w:p w14:paraId="57A98DE3" w14:textId="77777777" w:rsidR="009C6DF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Boehm TM, Lebovitz HE, Statistical analysis of Glucose and insulin responses to intravenous tolbutamide: </w:t>
      </w:r>
      <w:proofErr w:type="spellStart"/>
      <w:r>
        <w:rPr>
          <w:rFonts w:ascii="Arial" w:hAnsi="Arial" w:cs="Arial"/>
          <w:bCs/>
          <w:sz w:val="18"/>
          <w:szCs w:val="18"/>
        </w:rPr>
        <w:t>evalustion</w:t>
      </w:r>
      <w:proofErr w:type="spellEnd"/>
      <w:r>
        <w:rPr>
          <w:rFonts w:ascii="Arial" w:hAnsi="Arial" w:cs="Arial"/>
          <w:bCs/>
          <w:sz w:val="18"/>
          <w:szCs w:val="18"/>
        </w:rPr>
        <w:t xml:space="preserve"> of hypoglycemic and </w:t>
      </w:r>
      <w:proofErr w:type="spellStart"/>
      <w:r>
        <w:rPr>
          <w:rFonts w:ascii="Arial" w:hAnsi="Arial" w:cs="Arial"/>
          <w:bCs/>
          <w:sz w:val="18"/>
          <w:szCs w:val="18"/>
        </w:rPr>
        <w:t>hyperinsulinemic</w:t>
      </w:r>
      <w:proofErr w:type="spellEnd"/>
      <w:r>
        <w:rPr>
          <w:rFonts w:ascii="Arial" w:hAnsi="Arial" w:cs="Arial"/>
          <w:bCs/>
          <w:sz w:val="18"/>
          <w:szCs w:val="18"/>
        </w:rPr>
        <w:t xml:space="preserve"> </w:t>
      </w:r>
      <w:proofErr w:type="spellStart"/>
      <w:proofErr w:type="gramStart"/>
      <w:r>
        <w:rPr>
          <w:rFonts w:ascii="Arial" w:hAnsi="Arial" w:cs="Arial"/>
          <w:bCs/>
          <w:sz w:val="18"/>
          <w:szCs w:val="18"/>
        </w:rPr>
        <w:t>states:Diabetes</w:t>
      </w:r>
      <w:proofErr w:type="spellEnd"/>
      <w:proofErr w:type="gramEnd"/>
      <w:r>
        <w:rPr>
          <w:rFonts w:ascii="Arial" w:hAnsi="Arial" w:cs="Arial"/>
          <w:bCs/>
          <w:sz w:val="18"/>
          <w:szCs w:val="18"/>
        </w:rPr>
        <w:t xml:space="preserve"> Care. (1979) 479-490. </w:t>
      </w:r>
    </w:p>
    <w:p w14:paraId="1EB526BE" w14:textId="77777777" w:rsidR="009C6DF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National Committee for Clinical Laboratory Standards. Procedures for the collection of diagnostic blood specimens by venipuncture: </w:t>
      </w:r>
      <w:proofErr w:type="gramStart"/>
      <w:r>
        <w:rPr>
          <w:rFonts w:ascii="Arial" w:hAnsi="Arial" w:cs="Arial"/>
          <w:bCs/>
          <w:sz w:val="18"/>
          <w:szCs w:val="18"/>
        </w:rPr>
        <w:t>approved  standards</w:t>
      </w:r>
      <w:proofErr w:type="gramEnd"/>
      <w:r>
        <w:rPr>
          <w:rFonts w:ascii="Arial" w:hAnsi="Arial" w:cs="Arial"/>
          <w:bCs/>
          <w:sz w:val="18"/>
          <w:szCs w:val="18"/>
        </w:rPr>
        <w:t>. 4</w:t>
      </w:r>
      <w:proofErr w:type="spellStart"/>
      <w:r>
        <w:rPr>
          <w:rFonts w:ascii="Arial" w:hAnsi="Arial" w:cs="Arial"/>
          <w:bCs/>
          <w:sz w:val="18"/>
          <w:szCs w:val="18"/>
          <w:vertAlign w:val="superscript"/>
          <w:lang w:val="en-GB"/>
        </w:rPr>
        <w:t>th</w:t>
      </w:r>
      <w:proofErr w:type="spellEnd"/>
      <w:r>
        <w:rPr>
          <w:rFonts w:ascii="Arial" w:hAnsi="Arial" w:cs="Arial"/>
          <w:bCs/>
          <w:sz w:val="18"/>
          <w:szCs w:val="18"/>
        </w:rPr>
        <w:t xml:space="preserve"> Ed. NCCLS Document H3-A4, Wayne, PA: 1998. </w:t>
      </w:r>
    </w:p>
    <w:p w14:paraId="269C025E" w14:textId="77777777" w:rsidR="009C6DF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Turkington RW, </w:t>
      </w:r>
      <w:proofErr w:type="spellStart"/>
      <w:r>
        <w:rPr>
          <w:rFonts w:ascii="Arial" w:hAnsi="Arial" w:cs="Arial"/>
          <w:bCs/>
          <w:sz w:val="18"/>
          <w:szCs w:val="18"/>
        </w:rPr>
        <w:t>Estkowkski</w:t>
      </w:r>
      <w:proofErr w:type="spellEnd"/>
      <w:r>
        <w:rPr>
          <w:rFonts w:ascii="Arial" w:hAnsi="Arial" w:cs="Arial"/>
          <w:bCs/>
          <w:sz w:val="18"/>
          <w:szCs w:val="18"/>
        </w:rPr>
        <w:t xml:space="preserve"> A, Link M. Secretion of insulin or connecting peptide; a predictor of insulin dependence of obese </w:t>
      </w:r>
      <w:proofErr w:type="spellStart"/>
      <w:proofErr w:type="gramStart"/>
      <w:r>
        <w:rPr>
          <w:rFonts w:ascii="Arial" w:hAnsi="Arial" w:cs="Arial"/>
          <w:bCs/>
          <w:sz w:val="18"/>
          <w:szCs w:val="18"/>
        </w:rPr>
        <w:t>diabetics.Archives</w:t>
      </w:r>
      <w:proofErr w:type="spellEnd"/>
      <w:proofErr w:type="gramEnd"/>
      <w:r>
        <w:rPr>
          <w:rFonts w:ascii="Arial" w:hAnsi="Arial" w:cs="Arial"/>
          <w:bCs/>
          <w:sz w:val="18"/>
          <w:szCs w:val="18"/>
        </w:rPr>
        <w:t xml:space="preserve"> of Internal Med. 1982:142: 1102-1105. </w:t>
      </w:r>
    </w:p>
    <w:p w14:paraId="4A13A498" w14:textId="77777777" w:rsidR="009C6DF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Sacks BD: Carbohydrates In Burtis, C.A. and Ashwood, AR (Eds) Tietz Textbook of Clinical Chemistry. 2</w:t>
      </w:r>
      <w:proofErr w:type="spellStart"/>
      <w:r>
        <w:rPr>
          <w:rFonts w:ascii="Arial" w:hAnsi="Arial" w:cs="Arial"/>
          <w:bCs/>
          <w:sz w:val="18"/>
          <w:szCs w:val="18"/>
          <w:vertAlign w:val="superscript"/>
          <w:lang w:val="en-GB"/>
        </w:rPr>
        <w:t>nd</w:t>
      </w:r>
      <w:proofErr w:type="spellEnd"/>
      <w:r>
        <w:rPr>
          <w:rFonts w:ascii="Arial" w:hAnsi="Arial" w:cs="Arial"/>
          <w:bCs/>
          <w:sz w:val="18"/>
          <w:szCs w:val="18"/>
        </w:rPr>
        <w:t xml:space="preserve"> Ed. Philadelphia. W.B. Saunders Co. 1994. </w:t>
      </w:r>
    </w:p>
    <w:p w14:paraId="6E9E29E4" w14:textId="77777777" w:rsidR="009C6DF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Kahn CR, Rosenthal AS, Immunologic reactions to insulin, insulin allergy, insulin resistance and autoimmune insulin syndrome. Diabetes Care 1979; 2. 283-295. </w:t>
      </w:r>
    </w:p>
    <w:p w14:paraId="44BA0564" w14:textId="77777777" w:rsidR="009C6DFA" w:rsidRDefault="00000000">
      <w:pPr>
        <w:pStyle w:val="ListParagraph"/>
        <w:numPr>
          <w:ilvl w:val="0"/>
          <w:numId w:val="10"/>
        </w:numPr>
        <w:tabs>
          <w:tab w:val="left" w:pos="360"/>
        </w:tabs>
        <w:jc w:val="both"/>
      </w:pPr>
      <w:r>
        <w:rPr>
          <w:rFonts w:ascii="Arial" w:hAnsi="Arial" w:cs="Arial"/>
          <w:bCs/>
          <w:sz w:val="18"/>
          <w:szCs w:val="18"/>
        </w:rPr>
        <w:t>Data on file: Orchid Biomedical Systems (P) Ltd</w:t>
      </w:r>
    </w:p>
    <w:p w14:paraId="1CAD2E8E" w14:textId="77777777" w:rsidR="009C6DFA" w:rsidRDefault="009C6DFA">
      <w:pPr>
        <w:tabs>
          <w:tab w:val="left" w:pos="360"/>
        </w:tabs>
        <w:jc w:val="center"/>
      </w:pPr>
    </w:p>
    <w:p w14:paraId="3ADFB8DB" w14:textId="77777777" w:rsidR="009C6DFA" w:rsidRDefault="00000000">
      <w:pPr>
        <w:tabs>
          <w:tab w:val="left" w:pos="360"/>
        </w:tabs>
        <w:jc w:val="center"/>
      </w:pPr>
      <w:r>
        <w:object w:dxaOrig="3796" w:dyaOrig="3210" w14:anchorId="0371355D">
          <v:shape id="_x0000_i1026" type="#_x0000_t75" style="width:189.8pt;height:160.5pt" o:ole="">
            <v:imagedata r:id="rId10" o:title=""/>
          </v:shape>
          <o:OLEObject Type="Embed" ProgID="CorelDraw.Graphic.23" ShapeID="_x0000_i1026" DrawAspect="Content" ObjectID="_1789629472" r:id="rId11"/>
        </w:object>
      </w:r>
    </w:p>
    <w:p w14:paraId="694662DF" w14:textId="77777777" w:rsidR="009C6DFA" w:rsidRDefault="009C6DFA">
      <w:pPr>
        <w:tabs>
          <w:tab w:val="left" w:pos="360"/>
        </w:tabs>
        <w:jc w:val="center"/>
      </w:pPr>
    </w:p>
    <w:p w14:paraId="4C4BE3CC" w14:textId="77777777" w:rsidR="009C6DFA" w:rsidRDefault="00000000">
      <w:pPr>
        <w:tabs>
          <w:tab w:val="left" w:pos="360"/>
        </w:tabs>
        <w:jc w:val="center"/>
        <w:rPr>
          <w:rFonts w:ascii="Arial" w:hAnsi="Arial" w:cs="Arial"/>
          <w:i/>
          <w:sz w:val="14"/>
          <w:szCs w:val="18"/>
        </w:rPr>
      </w:pPr>
      <w:r>
        <w:object w:dxaOrig="3842" w:dyaOrig="1110" w14:anchorId="2918DDAB">
          <v:shape id="_x0000_i1027" type="#_x0000_t75" style="width:192.1pt;height:55.5pt" o:ole="">
            <v:imagedata r:id="rId12" o:title=""/>
          </v:shape>
          <o:OLEObject Type="Embed" ProgID="CorelDraw.Graphic.23" ShapeID="_x0000_i1027" DrawAspect="Content" ObjectID="_1789629473" r:id="rId13"/>
        </w:object>
      </w:r>
    </w:p>
    <w:sectPr w:rsidR="009C6DFA">
      <w:headerReference w:type="even" r:id="rId14"/>
      <w:footerReference w:type="even" r:id="rId15"/>
      <w:footerReference w:type="default" r:id="rId16"/>
      <w:headerReference w:type="first" r:id="rId17"/>
      <w:footerReference w:type="first" r:id="rId18"/>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6153B7" w14:textId="77777777" w:rsidR="00007239" w:rsidRDefault="00007239">
      <w:r>
        <w:separator/>
      </w:r>
    </w:p>
  </w:endnote>
  <w:endnote w:type="continuationSeparator" w:id="0">
    <w:p w14:paraId="1094B343" w14:textId="77777777" w:rsidR="00007239" w:rsidRDefault="00007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53D0C5" w14:textId="77777777" w:rsidR="009C6DFA" w:rsidRDefault="009C6D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7597D" w14:textId="77777777" w:rsidR="009C6DFA"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A73EBE" w14:textId="77777777" w:rsidR="009C6DFA" w:rsidRDefault="009C6D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1C8BFB" w14:textId="77777777" w:rsidR="00007239" w:rsidRDefault="00007239">
      <w:r>
        <w:separator/>
      </w:r>
    </w:p>
  </w:footnote>
  <w:footnote w:type="continuationSeparator" w:id="0">
    <w:p w14:paraId="74BED9BA" w14:textId="77777777" w:rsidR="00007239" w:rsidRDefault="000072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F23AFB" w14:textId="77777777" w:rsidR="009C6DFA" w:rsidRDefault="009C6D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D3F7F8" w14:textId="77777777" w:rsidR="009C6DFA" w:rsidRDefault="009C6D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363AD76"/>
    <w:multiLevelType w:val="singleLevel"/>
    <w:tmpl w:val="E363AD76"/>
    <w:lvl w:ilvl="0">
      <w:start w:val="1"/>
      <w:numFmt w:val="decimal"/>
      <w:lvlText w:val="%1."/>
      <w:lvlJc w:val="left"/>
      <w:pPr>
        <w:tabs>
          <w:tab w:val="left" w:pos="425"/>
        </w:tabs>
        <w:ind w:left="425" w:hanging="425"/>
      </w:pPr>
      <w:rPr>
        <w:rFonts w:hint="default"/>
      </w:rPr>
    </w:lvl>
  </w:abstractNum>
  <w:abstractNum w:abstractNumId="1" w15:restartNumberingAfterBreak="0">
    <w:nsid w:val="0DC44B96"/>
    <w:multiLevelType w:val="multilevel"/>
    <w:tmpl w:val="0DC44B96"/>
    <w:lvl w:ilvl="0">
      <w:start w:val="1"/>
      <w:numFmt w:val="decimal"/>
      <w:lvlText w:val="%1."/>
      <w:lvlJc w:val="left"/>
      <w:pPr>
        <w:ind w:left="644" w:hanging="360"/>
      </w:pPr>
      <w:rPr>
        <w:rFonts w:hint="default"/>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 w15:restartNumberingAfterBreak="0">
    <w:nsid w:val="14D60B0B"/>
    <w:multiLevelType w:val="hybridMultilevel"/>
    <w:tmpl w:val="C6065EC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7C819B2"/>
    <w:multiLevelType w:val="multilevel"/>
    <w:tmpl w:val="17C819B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B6461AD"/>
    <w:multiLevelType w:val="multilevel"/>
    <w:tmpl w:val="2B6461AD"/>
    <w:lvl w:ilvl="0">
      <w:numFmt w:val="bullet"/>
      <w:lvlText w:val="·"/>
      <w:lvlJc w:val="left"/>
      <w:pPr>
        <w:ind w:left="689" w:hanging="360"/>
      </w:pPr>
      <w:rPr>
        <w:rFonts w:ascii="Arial" w:eastAsia="Times New Roman" w:hAnsi="Arial" w:cs="Arial" w:hint="default"/>
      </w:rPr>
    </w:lvl>
    <w:lvl w:ilvl="1">
      <w:start w:val="1"/>
      <w:numFmt w:val="bullet"/>
      <w:lvlText w:val="o"/>
      <w:lvlJc w:val="left"/>
      <w:pPr>
        <w:ind w:left="1409" w:hanging="360"/>
      </w:pPr>
      <w:rPr>
        <w:rFonts w:ascii="Courier New" w:hAnsi="Courier New" w:cs="Courier New" w:hint="default"/>
      </w:rPr>
    </w:lvl>
    <w:lvl w:ilvl="2">
      <w:start w:val="1"/>
      <w:numFmt w:val="bullet"/>
      <w:lvlText w:val=""/>
      <w:lvlJc w:val="left"/>
      <w:pPr>
        <w:ind w:left="2129" w:hanging="360"/>
      </w:pPr>
      <w:rPr>
        <w:rFonts w:ascii="Wingdings" w:hAnsi="Wingdings" w:hint="default"/>
      </w:rPr>
    </w:lvl>
    <w:lvl w:ilvl="3">
      <w:start w:val="1"/>
      <w:numFmt w:val="bullet"/>
      <w:lvlText w:val=""/>
      <w:lvlJc w:val="left"/>
      <w:pPr>
        <w:ind w:left="2849" w:hanging="360"/>
      </w:pPr>
      <w:rPr>
        <w:rFonts w:ascii="Symbol" w:hAnsi="Symbol" w:hint="default"/>
      </w:rPr>
    </w:lvl>
    <w:lvl w:ilvl="4">
      <w:start w:val="1"/>
      <w:numFmt w:val="bullet"/>
      <w:lvlText w:val="o"/>
      <w:lvlJc w:val="left"/>
      <w:pPr>
        <w:ind w:left="3569" w:hanging="360"/>
      </w:pPr>
      <w:rPr>
        <w:rFonts w:ascii="Courier New" w:hAnsi="Courier New" w:cs="Courier New" w:hint="default"/>
      </w:rPr>
    </w:lvl>
    <w:lvl w:ilvl="5">
      <w:start w:val="1"/>
      <w:numFmt w:val="bullet"/>
      <w:lvlText w:val=""/>
      <w:lvlJc w:val="left"/>
      <w:pPr>
        <w:ind w:left="4289" w:hanging="360"/>
      </w:pPr>
      <w:rPr>
        <w:rFonts w:ascii="Wingdings" w:hAnsi="Wingdings" w:hint="default"/>
      </w:rPr>
    </w:lvl>
    <w:lvl w:ilvl="6">
      <w:start w:val="1"/>
      <w:numFmt w:val="bullet"/>
      <w:lvlText w:val=""/>
      <w:lvlJc w:val="left"/>
      <w:pPr>
        <w:ind w:left="5009" w:hanging="360"/>
      </w:pPr>
      <w:rPr>
        <w:rFonts w:ascii="Symbol" w:hAnsi="Symbol" w:hint="default"/>
      </w:rPr>
    </w:lvl>
    <w:lvl w:ilvl="7">
      <w:start w:val="1"/>
      <w:numFmt w:val="bullet"/>
      <w:lvlText w:val="o"/>
      <w:lvlJc w:val="left"/>
      <w:pPr>
        <w:ind w:left="5729" w:hanging="360"/>
      </w:pPr>
      <w:rPr>
        <w:rFonts w:ascii="Courier New" w:hAnsi="Courier New" w:cs="Courier New" w:hint="default"/>
      </w:rPr>
    </w:lvl>
    <w:lvl w:ilvl="8">
      <w:start w:val="1"/>
      <w:numFmt w:val="bullet"/>
      <w:lvlText w:val=""/>
      <w:lvlJc w:val="left"/>
      <w:pPr>
        <w:ind w:left="6449" w:hanging="360"/>
      </w:pPr>
      <w:rPr>
        <w:rFonts w:ascii="Wingdings" w:hAnsi="Wingdings" w:hint="default"/>
      </w:rPr>
    </w:lvl>
  </w:abstractNum>
  <w:abstractNum w:abstractNumId="5" w15:restartNumberingAfterBreak="0">
    <w:nsid w:val="3635C309"/>
    <w:multiLevelType w:val="singleLevel"/>
    <w:tmpl w:val="3635C309"/>
    <w:lvl w:ilvl="0">
      <w:start w:val="3"/>
      <w:numFmt w:val="upperLetter"/>
      <w:suff w:val="nothing"/>
      <w:lvlText w:val="%1-"/>
      <w:lvlJc w:val="left"/>
    </w:lvl>
  </w:abstractNum>
  <w:abstractNum w:abstractNumId="6" w15:restartNumberingAfterBreak="0">
    <w:nsid w:val="3984441D"/>
    <w:multiLevelType w:val="multilevel"/>
    <w:tmpl w:val="3984441D"/>
    <w:lvl w:ilvl="0">
      <w:start w:val="1"/>
      <w:numFmt w:val="decimal"/>
      <w:lvlText w:val="%1."/>
      <w:lvlJc w:val="left"/>
      <w:pPr>
        <w:ind w:left="644" w:hanging="360"/>
      </w:pPr>
      <w:rPr>
        <w:rFonts w:hint="default"/>
      </w:rPr>
    </w:lvl>
    <w:lvl w:ilvl="1">
      <w:start w:val="1"/>
      <w:numFmt w:val="decimal"/>
      <w:lvlText w:val="%2."/>
      <w:lvlJc w:val="left"/>
      <w:pPr>
        <w:ind w:left="1364" w:hanging="360"/>
      </w:pPr>
      <w:rPr>
        <w:rFonts w:hint="default"/>
      </w:r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 w15:restartNumberingAfterBreak="0">
    <w:nsid w:val="44AF2E38"/>
    <w:multiLevelType w:val="hybridMultilevel"/>
    <w:tmpl w:val="9ADC70C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49E778DF"/>
    <w:multiLevelType w:val="multilevel"/>
    <w:tmpl w:val="49E778DF"/>
    <w:lvl w:ilvl="0">
      <w:start w:val="1"/>
      <w:numFmt w:val="decimal"/>
      <w:lvlText w:val="%1."/>
      <w:lvlJc w:val="lef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9" w15:restartNumberingAfterBreak="0">
    <w:nsid w:val="4CEF1F84"/>
    <w:multiLevelType w:val="multilevel"/>
    <w:tmpl w:val="4CEF1F84"/>
    <w:lvl w:ilvl="0">
      <w:start w:val="1"/>
      <w:numFmt w:val="decimal"/>
      <w:lvlText w:val="%1."/>
      <w:lvlJc w:val="left"/>
      <w:pPr>
        <w:ind w:left="689" w:hanging="360"/>
      </w:pPr>
      <w:rPr>
        <w:rFonts w:hint="default"/>
      </w:rPr>
    </w:lvl>
    <w:lvl w:ilvl="1">
      <w:start w:val="1"/>
      <w:numFmt w:val="lowerLetter"/>
      <w:lvlText w:val="%2."/>
      <w:lvlJc w:val="left"/>
      <w:pPr>
        <w:ind w:left="1409" w:hanging="360"/>
      </w:pPr>
    </w:lvl>
    <w:lvl w:ilvl="2">
      <w:start w:val="1"/>
      <w:numFmt w:val="lowerRoman"/>
      <w:lvlText w:val="%3."/>
      <w:lvlJc w:val="right"/>
      <w:pPr>
        <w:ind w:left="2129" w:hanging="180"/>
      </w:pPr>
    </w:lvl>
    <w:lvl w:ilvl="3">
      <w:start w:val="1"/>
      <w:numFmt w:val="decimal"/>
      <w:lvlText w:val="%4."/>
      <w:lvlJc w:val="left"/>
      <w:pPr>
        <w:ind w:left="2849" w:hanging="360"/>
      </w:pPr>
    </w:lvl>
    <w:lvl w:ilvl="4">
      <w:start w:val="1"/>
      <w:numFmt w:val="lowerLetter"/>
      <w:lvlText w:val="%5."/>
      <w:lvlJc w:val="left"/>
      <w:pPr>
        <w:ind w:left="3569" w:hanging="360"/>
      </w:pPr>
    </w:lvl>
    <w:lvl w:ilvl="5">
      <w:start w:val="1"/>
      <w:numFmt w:val="lowerRoman"/>
      <w:lvlText w:val="%6."/>
      <w:lvlJc w:val="right"/>
      <w:pPr>
        <w:ind w:left="4289" w:hanging="180"/>
      </w:pPr>
    </w:lvl>
    <w:lvl w:ilvl="6">
      <w:start w:val="1"/>
      <w:numFmt w:val="decimal"/>
      <w:lvlText w:val="%7."/>
      <w:lvlJc w:val="left"/>
      <w:pPr>
        <w:ind w:left="5009" w:hanging="360"/>
      </w:pPr>
    </w:lvl>
    <w:lvl w:ilvl="7">
      <w:start w:val="1"/>
      <w:numFmt w:val="lowerLetter"/>
      <w:lvlText w:val="%8."/>
      <w:lvlJc w:val="left"/>
      <w:pPr>
        <w:ind w:left="5729" w:hanging="360"/>
      </w:pPr>
    </w:lvl>
    <w:lvl w:ilvl="8">
      <w:start w:val="1"/>
      <w:numFmt w:val="lowerRoman"/>
      <w:lvlText w:val="%9."/>
      <w:lvlJc w:val="right"/>
      <w:pPr>
        <w:ind w:left="6449" w:hanging="180"/>
      </w:pPr>
    </w:lvl>
  </w:abstractNum>
  <w:abstractNum w:abstractNumId="10" w15:restartNumberingAfterBreak="0">
    <w:nsid w:val="5C7A0132"/>
    <w:multiLevelType w:val="multilevel"/>
    <w:tmpl w:val="5C7A0132"/>
    <w:lvl w:ilvl="0">
      <w:start w:val="1"/>
      <w:numFmt w:val="decimal"/>
      <w:lvlText w:val="%1."/>
      <w:lvlJc w:val="left"/>
      <w:pPr>
        <w:ind w:left="689" w:hanging="360"/>
      </w:pPr>
      <w:rPr>
        <w:rFonts w:hint="default"/>
      </w:rPr>
    </w:lvl>
    <w:lvl w:ilvl="1">
      <w:start w:val="1"/>
      <w:numFmt w:val="lowerLetter"/>
      <w:lvlText w:val="%2."/>
      <w:lvlJc w:val="left"/>
      <w:pPr>
        <w:ind w:left="1409" w:hanging="360"/>
      </w:pPr>
    </w:lvl>
    <w:lvl w:ilvl="2">
      <w:start w:val="1"/>
      <w:numFmt w:val="lowerRoman"/>
      <w:lvlText w:val="%3."/>
      <w:lvlJc w:val="right"/>
      <w:pPr>
        <w:ind w:left="2129" w:hanging="180"/>
      </w:pPr>
    </w:lvl>
    <w:lvl w:ilvl="3">
      <w:start w:val="1"/>
      <w:numFmt w:val="decimal"/>
      <w:lvlText w:val="%4."/>
      <w:lvlJc w:val="left"/>
      <w:pPr>
        <w:ind w:left="2849" w:hanging="360"/>
      </w:pPr>
    </w:lvl>
    <w:lvl w:ilvl="4">
      <w:start w:val="1"/>
      <w:numFmt w:val="lowerLetter"/>
      <w:lvlText w:val="%5."/>
      <w:lvlJc w:val="left"/>
      <w:pPr>
        <w:ind w:left="3569" w:hanging="360"/>
      </w:pPr>
    </w:lvl>
    <w:lvl w:ilvl="5">
      <w:start w:val="1"/>
      <w:numFmt w:val="lowerRoman"/>
      <w:lvlText w:val="%6."/>
      <w:lvlJc w:val="right"/>
      <w:pPr>
        <w:ind w:left="4289" w:hanging="180"/>
      </w:pPr>
    </w:lvl>
    <w:lvl w:ilvl="6">
      <w:start w:val="1"/>
      <w:numFmt w:val="decimal"/>
      <w:lvlText w:val="%7."/>
      <w:lvlJc w:val="left"/>
      <w:pPr>
        <w:ind w:left="5009" w:hanging="360"/>
      </w:pPr>
    </w:lvl>
    <w:lvl w:ilvl="7">
      <w:start w:val="1"/>
      <w:numFmt w:val="lowerLetter"/>
      <w:lvlText w:val="%8."/>
      <w:lvlJc w:val="left"/>
      <w:pPr>
        <w:ind w:left="5729" w:hanging="360"/>
      </w:pPr>
    </w:lvl>
    <w:lvl w:ilvl="8">
      <w:start w:val="1"/>
      <w:numFmt w:val="lowerRoman"/>
      <w:lvlText w:val="%9."/>
      <w:lvlJc w:val="right"/>
      <w:pPr>
        <w:ind w:left="6449" w:hanging="180"/>
      </w:pPr>
    </w:lvl>
  </w:abstractNum>
  <w:abstractNum w:abstractNumId="11" w15:restartNumberingAfterBreak="0">
    <w:nsid w:val="7C65B533"/>
    <w:multiLevelType w:val="singleLevel"/>
    <w:tmpl w:val="7C65B533"/>
    <w:lvl w:ilvl="0">
      <w:start w:val="1"/>
      <w:numFmt w:val="decimal"/>
      <w:lvlText w:val="%1."/>
      <w:lvlJc w:val="left"/>
      <w:pPr>
        <w:tabs>
          <w:tab w:val="left" w:pos="425"/>
        </w:tabs>
        <w:ind w:left="425" w:hanging="425"/>
      </w:pPr>
      <w:rPr>
        <w:rFonts w:hint="default"/>
      </w:rPr>
    </w:lvl>
  </w:abstractNum>
  <w:num w:numId="1" w16cid:durableId="697389732">
    <w:abstractNumId w:val="4"/>
  </w:num>
  <w:num w:numId="2" w16cid:durableId="1854680420">
    <w:abstractNumId w:val="9"/>
  </w:num>
  <w:num w:numId="3" w16cid:durableId="1452671331">
    <w:abstractNumId w:val="1"/>
  </w:num>
  <w:num w:numId="4" w16cid:durableId="1548179018">
    <w:abstractNumId w:val="6"/>
  </w:num>
  <w:num w:numId="5" w16cid:durableId="1904755743">
    <w:abstractNumId w:val="10"/>
  </w:num>
  <w:num w:numId="6" w16cid:durableId="820657406">
    <w:abstractNumId w:val="11"/>
  </w:num>
  <w:num w:numId="7" w16cid:durableId="952177371">
    <w:abstractNumId w:val="5"/>
  </w:num>
  <w:num w:numId="8" w16cid:durableId="870604142">
    <w:abstractNumId w:val="0"/>
  </w:num>
  <w:num w:numId="9" w16cid:durableId="61568584">
    <w:abstractNumId w:val="8"/>
  </w:num>
  <w:num w:numId="10" w16cid:durableId="152262274">
    <w:abstractNumId w:val="3"/>
  </w:num>
  <w:num w:numId="11" w16cid:durableId="632439956">
    <w:abstractNumId w:val="2"/>
  </w:num>
  <w:num w:numId="12" w16cid:durableId="483847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032CD"/>
    <w:rsid w:val="00007239"/>
    <w:rsid w:val="00065081"/>
    <w:rsid w:val="000B0CEA"/>
    <w:rsid w:val="000E17FF"/>
    <w:rsid w:val="000F2C37"/>
    <w:rsid w:val="001214F1"/>
    <w:rsid w:val="00131B4D"/>
    <w:rsid w:val="00137225"/>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25EE7"/>
    <w:rsid w:val="003447F8"/>
    <w:rsid w:val="00350958"/>
    <w:rsid w:val="00367BE0"/>
    <w:rsid w:val="003C2AD4"/>
    <w:rsid w:val="003C6025"/>
    <w:rsid w:val="00415F51"/>
    <w:rsid w:val="004569D5"/>
    <w:rsid w:val="00475744"/>
    <w:rsid w:val="00490520"/>
    <w:rsid w:val="004A017D"/>
    <w:rsid w:val="004A749E"/>
    <w:rsid w:val="004F00B7"/>
    <w:rsid w:val="0053059F"/>
    <w:rsid w:val="00580FE2"/>
    <w:rsid w:val="005967F3"/>
    <w:rsid w:val="005B47DA"/>
    <w:rsid w:val="005C438D"/>
    <w:rsid w:val="005C4601"/>
    <w:rsid w:val="005C7851"/>
    <w:rsid w:val="005D14FD"/>
    <w:rsid w:val="00690FA0"/>
    <w:rsid w:val="00691164"/>
    <w:rsid w:val="00691AF2"/>
    <w:rsid w:val="0069319B"/>
    <w:rsid w:val="00693A7F"/>
    <w:rsid w:val="006B68A2"/>
    <w:rsid w:val="006C1D4D"/>
    <w:rsid w:val="006E135A"/>
    <w:rsid w:val="006E51E2"/>
    <w:rsid w:val="006F1917"/>
    <w:rsid w:val="007417BA"/>
    <w:rsid w:val="00763725"/>
    <w:rsid w:val="007650B8"/>
    <w:rsid w:val="007709B4"/>
    <w:rsid w:val="007743C8"/>
    <w:rsid w:val="00780A13"/>
    <w:rsid w:val="007846E1"/>
    <w:rsid w:val="00791CE1"/>
    <w:rsid w:val="0080477D"/>
    <w:rsid w:val="008060B9"/>
    <w:rsid w:val="00807308"/>
    <w:rsid w:val="008131CD"/>
    <w:rsid w:val="0086479E"/>
    <w:rsid w:val="00880D76"/>
    <w:rsid w:val="008B60FC"/>
    <w:rsid w:val="008E507D"/>
    <w:rsid w:val="00922C13"/>
    <w:rsid w:val="009271F7"/>
    <w:rsid w:val="0093184E"/>
    <w:rsid w:val="00991FA3"/>
    <w:rsid w:val="00993132"/>
    <w:rsid w:val="00994741"/>
    <w:rsid w:val="00997C8D"/>
    <w:rsid w:val="009A35AC"/>
    <w:rsid w:val="009C6DFA"/>
    <w:rsid w:val="00A00D6C"/>
    <w:rsid w:val="00A064B6"/>
    <w:rsid w:val="00A175D1"/>
    <w:rsid w:val="00A339AD"/>
    <w:rsid w:val="00A346F5"/>
    <w:rsid w:val="00A429AD"/>
    <w:rsid w:val="00A74AA9"/>
    <w:rsid w:val="00A80735"/>
    <w:rsid w:val="00A84946"/>
    <w:rsid w:val="00AC16E8"/>
    <w:rsid w:val="00AE7ED6"/>
    <w:rsid w:val="00AF6A29"/>
    <w:rsid w:val="00B141ED"/>
    <w:rsid w:val="00BB148B"/>
    <w:rsid w:val="00BE3603"/>
    <w:rsid w:val="00BE38FB"/>
    <w:rsid w:val="00BE437E"/>
    <w:rsid w:val="00BF4EAE"/>
    <w:rsid w:val="00C23350"/>
    <w:rsid w:val="00C37A29"/>
    <w:rsid w:val="00C41C2A"/>
    <w:rsid w:val="00C4489E"/>
    <w:rsid w:val="00C62BF6"/>
    <w:rsid w:val="00C64B48"/>
    <w:rsid w:val="00C765E7"/>
    <w:rsid w:val="00C80C1E"/>
    <w:rsid w:val="00CA5160"/>
    <w:rsid w:val="00CA5B79"/>
    <w:rsid w:val="00CA674C"/>
    <w:rsid w:val="00CB7351"/>
    <w:rsid w:val="00CC1C17"/>
    <w:rsid w:val="00CC4CF9"/>
    <w:rsid w:val="00CE33A1"/>
    <w:rsid w:val="00CF4C14"/>
    <w:rsid w:val="00D72C8C"/>
    <w:rsid w:val="00D740F5"/>
    <w:rsid w:val="00D86CBB"/>
    <w:rsid w:val="00DA500C"/>
    <w:rsid w:val="00DB2FE4"/>
    <w:rsid w:val="00DB4A5B"/>
    <w:rsid w:val="00E05601"/>
    <w:rsid w:val="00E25627"/>
    <w:rsid w:val="00E2719F"/>
    <w:rsid w:val="00E37F1B"/>
    <w:rsid w:val="00E67E07"/>
    <w:rsid w:val="00E73CF2"/>
    <w:rsid w:val="00E82464"/>
    <w:rsid w:val="00EA6728"/>
    <w:rsid w:val="00EB4AFD"/>
    <w:rsid w:val="00EB550C"/>
    <w:rsid w:val="00EE0E53"/>
    <w:rsid w:val="00F00A6A"/>
    <w:rsid w:val="00F012BA"/>
    <w:rsid w:val="00F109BB"/>
    <w:rsid w:val="00F15018"/>
    <w:rsid w:val="00F74F7B"/>
    <w:rsid w:val="00F818A7"/>
    <w:rsid w:val="00F92675"/>
    <w:rsid w:val="00FC3676"/>
    <w:rsid w:val="00FD3AA9"/>
    <w:rsid w:val="09002F54"/>
    <w:rsid w:val="1CBA19C6"/>
    <w:rsid w:val="26F815E3"/>
    <w:rsid w:val="2CEB6EBB"/>
    <w:rsid w:val="5A250A36"/>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1F55611"/>
  <w15:docId w15:val="{DEDDB5E7-D25B-4F52-B1C3-0B4682A79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pPr>
      <w:spacing w:after="120"/>
    </w:pPr>
    <w:rPr>
      <w:sz w:val="16"/>
      <w:szCs w:val="16"/>
      <w:lang w:val="zh-CN"/>
    </w:rPr>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1997</Words>
  <Characters>11387</Characters>
  <Application>Microsoft Office Word</Application>
  <DocSecurity>0</DocSecurity>
  <Lines>94</Lines>
  <Paragraphs>26</Paragraphs>
  <ScaleCrop>false</ScaleCrop>
  <Company>E&amp;E Labs, Inc.</Company>
  <LinksUpToDate>false</LinksUpToDate>
  <CharactersWithSpaces>13358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2</cp:revision>
  <cp:lastPrinted>2008-08-26T11:33:00Z</cp:lastPrinted>
  <dcterms:created xsi:type="dcterms:W3CDTF">2024-10-05T05:01:00Z</dcterms:created>
  <dcterms:modified xsi:type="dcterms:W3CDTF">2024-10-05T05:01:00Z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5DEB2E54DC1B4C6D91ED6E878BD5B3EF_12</vt:lpwstr>
  </property>
</Properties>
</file>