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F28B8E" w14:textId="4D8CAFE2" w:rsidR="00DB5F94" w:rsidRDefault="00000000">
      <w:pPr>
        <w:pStyle w:val="Footer"/>
        <w:tabs>
          <w:tab w:val="clear" w:pos="4320"/>
          <w:tab w:val="clear" w:pos="8640"/>
        </w:tabs>
        <w:rPr>
          <w:sz w:val="24"/>
        </w:rPr>
      </w:pPr>
      <w:r>
        <w:pict w14:anchorId="3B76A779">
          <v:rect id="_x0000_s1026" style="position:absolute;margin-left:7.2pt;margin-top:0;width:208.8pt;height:63.25pt;z-index:1;mso-width-relative:page;mso-height-relative:page" o:allowincell="f" filled="f" stroked="f" strokeweight="4pt">
            <v:textbox inset="1pt,1pt,1pt,1pt">
              <w:txbxContent>
                <w:p w14:paraId="35991CBD" w14:textId="77777777" w:rsidR="00DB5F94" w:rsidRDefault="00000000">
                  <w:pPr>
                    <w:jc w:val="center"/>
                    <w:rPr>
                      <w:rFonts w:ascii="Bookman Old Style" w:hAnsi="Bookman Old Style"/>
                      <w:b/>
                      <w:sz w:val="24"/>
                    </w:rPr>
                  </w:pPr>
                  <w:r>
                    <w:rPr>
                      <w:rFonts w:ascii="Bookman Old Style" w:hAnsi="Bookman Old Style"/>
                      <w:b/>
                      <w:sz w:val="24"/>
                    </w:rPr>
                    <w:t>Anti-Cyclic Citrullinated Peptides (Anti-CCP)</w:t>
                  </w:r>
                </w:p>
                <w:p w14:paraId="4DF04937" w14:textId="77777777" w:rsidR="00DB5F94" w:rsidRDefault="00000000">
                  <w:pPr>
                    <w:jc w:val="center"/>
                    <w:rPr>
                      <w:rFonts w:ascii="Bookman Old Style" w:hAnsi="Bookman Old Style"/>
                      <w:b/>
                      <w:sz w:val="24"/>
                      <w:lang w:val="en-GB"/>
                    </w:rPr>
                  </w:pPr>
                  <w:r>
                    <w:rPr>
                      <w:rFonts w:ascii="Bookman Old Style" w:hAnsi="Bookman Old Style"/>
                      <w:b/>
                      <w:sz w:val="24"/>
                    </w:rPr>
                    <w:t xml:space="preserve">ENZYME IMMUNOASSAY </w:t>
                  </w:r>
                  <w:r>
                    <w:rPr>
                      <w:rFonts w:ascii="Bookman Old Style" w:hAnsi="Bookman Old Style"/>
                      <w:b/>
                      <w:sz w:val="24"/>
                      <w:lang w:val="en-GB"/>
                    </w:rPr>
                    <w:t>TEST KIT</w:t>
                  </w:r>
                </w:p>
              </w:txbxContent>
            </v:textbox>
          </v:rect>
        </w:pict>
      </w:r>
    </w:p>
    <w:p w14:paraId="12E0805C" w14:textId="77777777" w:rsidR="00DB5F94" w:rsidRDefault="00DB5F94">
      <w:pPr>
        <w:rPr>
          <w:sz w:val="24"/>
        </w:rPr>
      </w:pPr>
    </w:p>
    <w:p w14:paraId="49A8FE9F" w14:textId="77777777" w:rsidR="00DB5F94" w:rsidRDefault="00DB5F94">
      <w:pPr>
        <w:rPr>
          <w:sz w:val="24"/>
        </w:rPr>
      </w:pPr>
    </w:p>
    <w:p w14:paraId="733CF240" w14:textId="77777777" w:rsidR="00DB5F94" w:rsidRDefault="00DB5F94"/>
    <w:p w14:paraId="740B00C8" w14:textId="77777777" w:rsidR="00DB5F94" w:rsidRDefault="00DB5F94">
      <w:pPr>
        <w:tabs>
          <w:tab w:val="left" w:pos="360"/>
        </w:tabs>
        <w:jc w:val="both"/>
        <w:rPr>
          <w:rFonts w:ascii="Arial" w:hAnsi="Arial" w:cs="Arial"/>
          <w:b/>
        </w:rPr>
      </w:pPr>
    </w:p>
    <w:p w14:paraId="6529DE55" w14:textId="77777777" w:rsidR="00DB5F94" w:rsidRDefault="00000000">
      <w:pPr>
        <w:tabs>
          <w:tab w:val="left" w:pos="360"/>
        </w:tabs>
        <w:jc w:val="center"/>
        <w:rPr>
          <w:rFonts w:ascii="Arial" w:hAnsi="Arial" w:cs="Arial"/>
          <w:b/>
        </w:rPr>
      </w:pPr>
      <w:r>
        <w:rPr>
          <w:rFonts w:ascii="Arial" w:hAnsi="Arial" w:cs="Arial"/>
          <w:b/>
        </w:rPr>
        <w:t>Enzyme Linked Immunosorbent Assay (ELISA) for Quantitative Determination of IgG class autoantibodies against cyclic citrullinated peptides in Human Serum</w:t>
      </w:r>
    </w:p>
    <w:p w14:paraId="12434F74" w14:textId="77777777" w:rsidR="00DB5F94" w:rsidRDefault="00DB5F94">
      <w:pPr>
        <w:tabs>
          <w:tab w:val="left" w:pos="360"/>
        </w:tabs>
        <w:jc w:val="center"/>
        <w:rPr>
          <w:rFonts w:ascii="Arial" w:hAnsi="Arial" w:cs="Arial"/>
          <w:b/>
        </w:rPr>
      </w:pPr>
    </w:p>
    <w:p w14:paraId="3B4BD02F" w14:textId="77777777" w:rsidR="00DB5F94" w:rsidRDefault="00000000">
      <w:pPr>
        <w:tabs>
          <w:tab w:val="left" w:pos="360"/>
        </w:tabs>
        <w:jc w:val="center"/>
        <w:rPr>
          <w:rFonts w:ascii="Arial" w:hAnsi="Arial" w:cs="Arial"/>
          <w:b/>
        </w:rPr>
      </w:pPr>
      <w:r>
        <w:rPr>
          <w:rFonts w:ascii="Arial" w:hAnsi="Arial" w:cs="Arial"/>
          <w:b/>
        </w:rPr>
        <w:t>FOR IN VITRO DIAGNOSTIC USE ONLY</w:t>
      </w:r>
    </w:p>
    <w:p w14:paraId="667E7A02" w14:textId="77777777" w:rsidR="00DB5F94" w:rsidRDefault="00000000">
      <w:pPr>
        <w:tabs>
          <w:tab w:val="left" w:pos="360"/>
        </w:tabs>
        <w:jc w:val="center"/>
        <w:rPr>
          <w:rFonts w:ascii="Arial" w:hAnsi="Arial" w:cs="Arial"/>
          <w:b/>
        </w:rPr>
      </w:pPr>
      <w:r>
        <w:rPr>
          <w:rFonts w:ascii="Arial" w:hAnsi="Arial" w:cs="Arial"/>
          <w:b/>
        </w:rPr>
        <w:t>Store at 2°C to 8°C</w:t>
      </w:r>
    </w:p>
    <w:p w14:paraId="1D1B7DE3" w14:textId="77777777" w:rsidR="00DB5F94" w:rsidRDefault="00DB5F94">
      <w:pPr>
        <w:tabs>
          <w:tab w:val="left" w:pos="360"/>
        </w:tabs>
        <w:jc w:val="both"/>
        <w:rPr>
          <w:rFonts w:ascii="Arial" w:hAnsi="Arial" w:cs="Arial"/>
          <w:bCs/>
          <w:sz w:val="18"/>
          <w:szCs w:val="18"/>
        </w:rPr>
      </w:pPr>
    </w:p>
    <w:p w14:paraId="42B93B2A" w14:textId="77777777" w:rsidR="00DB5F94" w:rsidRDefault="00000000">
      <w:pPr>
        <w:tabs>
          <w:tab w:val="left" w:pos="360"/>
        </w:tabs>
        <w:ind w:left="360"/>
        <w:jc w:val="both"/>
        <w:rPr>
          <w:rFonts w:ascii="Arial" w:hAnsi="Arial" w:cs="Arial"/>
          <w:bCs/>
          <w:sz w:val="18"/>
          <w:szCs w:val="18"/>
        </w:rPr>
      </w:pPr>
      <w:r>
        <w:rPr>
          <w:rFonts w:ascii="Arial" w:hAnsi="Arial" w:cs="Arial"/>
          <w:bCs/>
          <w:sz w:val="18"/>
          <w:szCs w:val="18"/>
        </w:rPr>
        <w:t>INTENDED USE</w:t>
      </w:r>
    </w:p>
    <w:p w14:paraId="571FA1F5" w14:textId="77777777" w:rsidR="00DB5F94" w:rsidRDefault="00000000">
      <w:pPr>
        <w:tabs>
          <w:tab w:val="left" w:pos="360"/>
        </w:tabs>
        <w:ind w:left="360"/>
        <w:jc w:val="both"/>
        <w:rPr>
          <w:rFonts w:ascii="Arial" w:hAnsi="Arial" w:cs="Arial"/>
          <w:bCs/>
          <w:sz w:val="18"/>
          <w:szCs w:val="18"/>
        </w:rPr>
      </w:pPr>
      <w:r>
        <w:rPr>
          <w:rFonts w:ascii="Arial" w:hAnsi="Arial" w:cs="Arial"/>
          <w:bCs/>
          <w:sz w:val="18"/>
          <w:szCs w:val="18"/>
        </w:rPr>
        <w:t>Anti-CCP sandwich ELISA test is intended for the quantitative measurement of IgG class autoantibodies against cyclic citrullinated peptides present in human serum. For In Vitro Diagnostic Use only.</w:t>
      </w:r>
    </w:p>
    <w:p w14:paraId="73951CD3" w14:textId="77777777" w:rsidR="00DB5F94" w:rsidRDefault="00DB5F94">
      <w:pPr>
        <w:tabs>
          <w:tab w:val="left" w:pos="360"/>
        </w:tabs>
        <w:ind w:left="360"/>
        <w:jc w:val="both"/>
        <w:rPr>
          <w:rFonts w:ascii="Arial" w:hAnsi="Arial" w:cs="Arial"/>
          <w:bCs/>
          <w:sz w:val="18"/>
          <w:szCs w:val="18"/>
        </w:rPr>
      </w:pPr>
    </w:p>
    <w:p w14:paraId="3A7FCF47" w14:textId="77777777" w:rsidR="00DB5F94" w:rsidRDefault="00000000">
      <w:pPr>
        <w:tabs>
          <w:tab w:val="left" w:pos="360"/>
        </w:tabs>
        <w:ind w:left="360"/>
        <w:jc w:val="both"/>
        <w:rPr>
          <w:rFonts w:ascii="Arial" w:hAnsi="Arial" w:cs="Arial"/>
          <w:bCs/>
          <w:sz w:val="18"/>
          <w:szCs w:val="18"/>
        </w:rPr>
      </w:pPr>
      <w:r>
        <w:rPr>
          <w:rFonts w:ascii="Arial" w:hAnsi="Arial" w:cs="Arial"/>
          <w:bCs/>
          <w:sz w:val="18"/>
          <w:szCs w:val="18"/>
        </w:rPr>
        <w:t>INTRODUCTION</w:t>
      </w:r>
    </w:p>
    <w:p w14:paraId="543F9DC0" w14:textId="77777777" w:rsidR="00DB5F94" w:rsidRDefault="00000000">
      <w:pPr>
        <w:tabs>
          <w:tab w:val="left" w:pos="360"/>
        </w:tabs>
        <w:ind w:left="360"/>
        <w:jc w:val="both"/>
        <w:rPr>
          <w:rFonts w:ascii="Arial" w:hAnsi="Arial" w:cs="Arial"/>
          <w:bCs/>
          <w:sz w:val="18"/>
          <w:szCs w:val="18"/>
        </w:rPr>
      </w:pPr>
      <w:r>
        <w:rPr>
          <w:rFonts w:ascii="Arial" w:hAnsi="Arial" w:cs="Arial"/>
          <w:bCs/>
          <w:sz w:val="18"/>
          <w:szCs w:val="18"/>
        </w:rPr>
        <w:t xml:space="preserve">Rheumatoid arthritis (RA) is an inflammatory rheumatic disorder with a worldwide prevalence of about 0.5-1%. The serum of RA patients contains a variety of antibodies directed against self-antigens. The most widely known of these autoantibodies is the rheumatoid factor (RF) antibody directed against the constant domain of IgG molecules. Although the RF test has good sensitivity for RA, it is not very specific for the disease as it can also be detected in the serum of patients with other rheumatic or inflammatory diseases and even in a substantial percentage of the healthy (elderly) population. The RF antibodies are sensitive but not very specific markers; In contrast, Anti-CCPs are characterized by a specificity of over 90% in patients affected by RA and are detectable in a very early asymptomatic stage in the approximately 70% of RA patients whereas only 2% of the control subjects resulted positive. Therefore, the presence of Anti-CCP antibodies can be used in the diagnosis of RA, particularly in the case of erosive arthritis, in childhood in the case of juvenile RA. The Anti-CCP antibody test, together with the determination of RF, increases the ratio of sensitivity/specificity. The simultaneous positive result of a sample to RF and CCP has a positive predictive value of about 100%. The advantage of CCP antibodies is a higher </w:t>
      </w:r>
      <w:r>
        <w:rPr>
          <w:rFonts w:ascii="Arial" w:hAnsi="Arial" w:cs="Arial"/>
          <w:bCs/>
          <w:sz w:val="18"/>
          <w:szCs w:val="18"/>
        </w:rPr>
        <w:t xml:space="preserve">sensitivity and specificity for the diagnosis of rheumatoid arthritis in comparison to the rheumatoid factors alone. Anti-CCP is often found at a very early stage of the </w:t>
      </w:r>
      <w:proofErr w:type="gramStart"/>
      <w:r>
        <w:rPr>
          <w:rFonts w:ascii="Arial" w:hAnsi="Arial" w:cs="Arial"/>
          <w:bCs/>
          <w:sz w:val="18"/>
          <w:szCs w:val="18"/>
        </w:rPr>
        <w:t>disease</w:t>
      </w:r>
      <w:proofErr w:type="gramEnd"/>
      <w:r>
        <w:rPr>
          <w:rFonts w:ascii="Arial" w:hAnsi="Arial" w:cs="Arial"/>
          <w:bCs/>
          <w:sz w:val="18"/>
          <w:szCs w:val="18"/>
        </w:rPr>
        <w:t xml:space="preserve"> and it has a high predictive value for development of the disease.</w:t>
      </w:r>
    </w:p>
    <w:p w14:paraId="2793A91E" w14:textId="77777777" w:rsidR="00DB5F94" w:rsidRDefault="00DB5F94">
      <w:pPr>
        <w:tabs>
          <w:tab w:val="left" w:pos="360"/>
        </w:tabs>
        <w:ind w:left="360"/>
        <w:jc w:val="both"/>
        <w:rPr>
          <w:rFonts w:ascii="Arial" w:hAnsi="Arial" w:cs="Arial"/>
          <w:bCs/>
          <w:sz w:val="18"/>
          <w:szCs w:val="18"/>
        </w:rPr>
      </w:pPr>
    </w:p>
    <w:p w14:paraId="66CB999F" w14:textId="77777777" w:rsidR="00DB5F94" w:rsidRDefault="00000000">
      <w:pPr>
        <w:tabs>
          <w:tab w:val="left" w:pos="360"/>
        </w:tabs>
        <w:ind w:left="360"/>
        <w:jc w:val="both"/>
        <w:rPr>
          <w:rFonts w:ascii="Arial" w:hAnsi="Arial" w:cs="Arial"/>
          <w:bCs/>
          <w:sz w:val="18"/>
          <w:szCs w:val="18"/>
        </w:rPr>
      </w:pPr>
      <w:r>
        <w:rPr>
          <w:rFonts w:ascii="Arial" w:hAnsi="Arial" w:cs="Arial"/>
          <w:bCs/>
          <w:sz w:val="18"/>
          <w:szCs w:val="18"/>
        </w:rPr>
        <w:t>PRINCIPLE OF THE ASSAY</w:t>
      </w:r>
    </w:p>
    <w:p w14:paraId="2BD14BAB" w14:textId="77777777" w:rsidR="00DB5F94" w:rsidRDefault="00000000">
      <w:pPr>
        <w:tabs>
          <w:tab w:val="left" w:pos="360"/>
        </w:tabs>
        <w:ind w:left="360"/>
        <w:jc w:val="both"/>
        <w:rPr>
          <w:rFonts w:ascii="Arial" w:hAnsi="Arial" w:cs="Arial"/>
          <w:bCs/>
          <w:sz w:val="18"/>
          <w:szCs w:val="18"/>
        </w:rPr>
      </w:pPr>
      <w:r>
        <w:rPr>
          <w:rFonts w:ascii="Arial" w:hAnsi="Arial" w:cs="Arial"/>
          <w:bCs/>
          <w:sz w:val="18"/>
          <w:szCs w:val="18"/>
        </w:rPr>
        <w:t>Anti-CCP sandwich ELISA test which uses Purified cyclic citrullinated peptides (CCP) is coated on the surface of microwells. Patient serum is added to wells, and the specific antibody, if present, will bind to the antigen coated on the surface of the micro well. All unbound materials are washed away. After adding enzyme conjugate, it binds to the antibody-antigen complex. Excess enzyme conjugate is washed off and TMB Substrate is added. The enzyme conjugate catalytic reaction is stopped at a specific time. The intensity of the color generated is proportional to the amount of anti-CCP IgG antibodies in the sample. The concentration of the anti-CCP IgG antibodies in the sample is calculated through a standard curve.</w:t>
      </w:r>
    </w:p>
    <w:p w14:paraId="1750AFF9" w14:textId="77777777" w:rsidR="00DB5F94" w:rsidRDefault="00DB5F94">
      <w:pPr>
        <w:tabs>
          <w:tab w:val="left" w:pos="360"/>
        </w:tabs>
        <w:ind w:left="360"/>
        <w:jc w:val="both"/>
        <w:rPr>
          <w:rFonts w:ascii="Arial" w:hAnsi="Arial" w:cs="Arial"/>
          <w:bCs/>
          <w:sz w:val="18"/>
          <w:szCs w:val="18"/>
        </w:rPr>
      </w:pPr>
    </w:p>
    <w:p w14:paraId="0D7B9690" w14:textId="77777777" w:rsidR="00DB5F94" w:rsidRDefault="00000000">
      <w:pPr>
        <w:tabs>
          <w:tab w:val="left" w:pos="360"/>
        </w:tabs>
        <w:ind w:left="360"/>
        <w:jc w:val="both"/>
        <w:rPr>
          <w:rFonts w:ascii="Arial" w:hAnsi="Arial" w:cs="Arial"/>
          <w:bCs/>
          <w:sz w:val="18"/>
          <w:szCs w:val="18"/>
        </w:rPr>
      </w:pPr>
      <w:r>
        <w:rPr>
          <w:rFonts w:ascii="Arial" w:hAnsi="Arial" w:cs="Arial"/>
          <w:bCs/>
          <w:sz w:val="18"/>
          <w:szCs w:val="18"/>
        </w:rPr>
        <w:t>MATERIALS AND COMPONENTS</w:t>
      </w:r>
    </w:p>
    <w:p w14:paraId="594BC124" w14:textId="77777777" w:rsidR="00DB5F94" w:rsidRDefault="00000000">
      <w:pPr>
        <w:tabs>
          <w:tab w:val="left" w:pos="360"/>
        </w:tabs>
        <w:ind w:left="360"/>
        <w:jc w:val="both"/>
        <w:rPr>
          <w:rFonts w:ascii="Arial" w:hAnsi="Arial" w:cs="Arial"/>
          <w:bCs/>
          <w:sz w:val="18"/>
          <w:szCs w:val="18"/>
        </w:rPr>
      </w:pPr>
      <w:r>
        <w:rPr>
          <w:rFonts w:ascii="Arial" w:hAnsi="Arial" w:cs="Arial"/>
          <w:bCs/>
          <w:sz w:val="18"/>
          <w:szCs w:val="18"/>
        </w:rPr>
        <w:t>Materials provided with the test kits:</w:t>
      </w:r>
    </w:p>
    <w:p w14:paraId="4A3D7013" w14:textId="77777777" w:rsidR="00DB5F94"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Coated Microwells: Microwells coated with Cyclical citrullinated peptides.</w:t>
      </w:r>
    </w:p>
    <w:p w14:paraId="32015541" w14:textId="77777777" w:rsidR="00DB5F94"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Anti-CCP Sample Diluent.</w:t>
      </w:r>
    </w:p>
    <w:p w14:paraId="78307BF9" w14:textId="77777777" w:rsidR="00DB5F94"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Anti-CCP Enzyme Conjugate. Ready to use.</w:t>
      </w:r>
    </w:p>
    <w:p w14:paraId="7710E5BB" w14:textId="77777777" w:rsidR="00DB5F94"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Anti-CCP Negative Control. Ready to use.</w:t>
      </w:r>
    </w:p>
    <w:p w14:paraId="5E4A34E3" w14:textId="77777777" w:rsidR="00DB5F94"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Anti-CCP Positive Control. Ready to use.</w:t>
      </w:r>
    </w:p>
    <w:p w14:paraId="5FDBCF57" w14:textId="77777777" w:rsidR="00DB5F94"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 xml:space="preserve">TMB Substrate. </w:t>
      </w:r>
    </w:p>
    <w:p w14:paraId="0EAE2582" w14:textId="77777777" w:rsidR="00DB5F94"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 xml:space="preserve">Stop Solution. </w:t>
      </w:r>
    </w:p>
    <w:p w14:paraId="49E1AB17" w14:textId="77777777" w:rsidR="00DB5F94"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Anti-CCP Standard set of 6 Standards labeled as A to F in liquid form. Ready to use. For Standard Concentrations refer vial label.</w:t>
      </w:r>
    </w:p>
    <w:p w14:paraId="716D7A67" w14:textId="77777777" w:rsidR="00DB5F94"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Wash Buffer Concentrate (20X).</w:t>
      </w:r>
    </w:p>
    <w:p w14:paraId="0FFDB496" w14:textId="77777777" w:rsidR="00DB5F94"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Pack Insert</w:t>
      </w:r>
    </w:p>
    <w:p w14:paraId="13059904" w14:textId="77777777" w:rsidR="00DB5F94"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Plate Sealer</w:t>
      </w:r>
    </w:p>
    <w:p w14:paraId="58CBDC9C" w14:textId="77777777" w:rsidR="00DB5F94"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Protocol Sheet</w:t>
      </w:r>
    </w:p>
    <w:p w14:paraId="1FDB2251" w14:textId="77777777" w:rsidR="00DB5F94"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Microwell Holder</w:t>
      </w:r>
    </w:p>
    <w:p w14:paraId="34C04881" w14:textId="77777777" w:rsidR="00DB5F94" w:rsidRDefault="00DB5F94">
      <w:pPr>
        <w:tabs>
          <w:tab w:val="left" w:pos="360"/>
        </w:tabs>
        <w:ind w:left="720"/>
        <w:jc w:val="both"/>
        <w:rPr>
          <w:rFonts w:ascii="Arial" w:hAnsi="Arial" w:cs="Arial"/>
          <w:bCs/>
          <w:sz w:val="18"/>
          <w:szCs w:val="18"/>
        </w:rPr>
      </w:pPr>
    </w:p>
    <w:p w14:paraId="4FAA56DA" w14:textId="77777777" w:rsidR="00DB5F94" w:rsidRDefault="00000000">
      <w:pPr>
        <w:tabs>
          <w:tab w:val="left" w:pos="360"/>
        </w:tabs>
        <w:ind w:left="720"/>
        <w:jc w:val="both"/>
        <w:rPr>
          <w:rFonts w:ascii="Arial" w:hAnsi="Arial" w:cs="Arial"/>
          <w:bCs/>
          <w:sz w:val="18"/>
          <w:szCs w:val="18"/>
        </w:rPr>
      </w:pPr>
      <w:r>
        <w:rPr>
          <w:rFonts w:ascii="Arial" w:hAnsi="Arial" w:cs="Arial"/>
          <w:bCs/>
          <w:sz w:val="18"/>
          <w:szCs w:val="18"/>
        </w:rPr>
        <w:t>Materials required but not provided</w:t>
      </w:r>
    </w:p>
    <w:p w14:paraId="54D2C8CE" w14:textId="77777777" w:rsidR="00DB5F94"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Precision pipettes: 10-100µl, 20-200µl, 100-1000µl</w:t>
      </w:r>
    </w:p>
    <w:p w14:paraId="356E57FC" w14:textId="77777777" w:rsidR="00DB5F94"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Disposable pipette tips</w:t>
      </w:r>
    </w:p>
    <w:p w14:paraId="65322D85" w14:textId="77777777" w:rsidR="00DB5F94"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Distilled water</w:t>
      </w:r>
    </w:p>
    <w:p w14:paraId="51093263" w14:textId="77777777" w:rsidR="00DB5F94"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Disposable Gloves</w:t>
      </w:r>
    </w:p>
    <w:p w14:paraId="68DEEF75" w14:textId="77777777" w:rsidR="00DB5F94"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ELISA reader</w:t>
      </w:r>
    </w:p>
    <w:p w14:paraId="4B954022" w14:textId="77777777" w:rsidR="00DB5F94" w:rsidRDefault="00000000">
      <w:pPr>
        <w:numPr>
          <w:ilvl w:val="0"/>
          <w:numId w:val="1"/>
        </w:numPr>
        <w:tabs>
          <w:tab w:val="left" w:pos="360"/>
        </w:tabs>
        <w:jc w:val="both"/>
        <w:rPr>
          <w:rFonts w:ascii="Arial" w:hAnsi="Arial" w:cs="Arial"/>
          <w:bCs/>
          <w:sz w:val="18"/>
          <w:szCs w:val="18"/>
        </w:rPr>
      </w:pPr>
      <w:r>
        <w:rPr>
          <w:rFonts w:ascii="Arial" w:hAnsi="Arial" w:cs="Arial"/>
          <w:bCs/>
          <w:sz w:val="18"/>
          <w:szCs w:val="18"/>
        </w:rPr>
        <w:t>ELISA washer</w:t>
      </w:r>
    </w:p>
    <w:p w14:paraId="37CA3005" w14:textId="77777777" w:rsidR="00DB5F94" w:rsidRDefault="00DB5F94">
      <w:pPr>
        <w:tabs>
          <w:tab w:val="left" w:pos="360"/>
        </w:tabs>
        <w:ind w:left="360"/>
        <w:jc w:val="both"/>
        <w:rPr>
          <w:rFonts w:ascii="Arial" w:hAnsi="Arial" w:cs="Arial"/>
          <w:bCs/>
          <w:sz w:val="18"/>
          <w:szCs w:val="18"/>
        </w:rPr>
      </w:pPr>
    </w:p>
    <w:p w14:paraId="62A0F739" w14:textId="77777777" w:rsidR="00DB5F94" w:rsidRDefault="00000000">
      <w:pPr>
        <w:tabs>
          <w:tab w:val="left" w:pos="360"/>
        </w:tabs>
        <w:ind w:left="360"/>
        <w:jc w:val="both"/>
        <w:rPr>
          <w:rFonts w:ascii="Arial" w:hAnsi="Arial" w:cs="Arial"/>
          <w:bCs/>
          <w:sz w:val="18"/>
          <w:szCs w:val="18"/>
        </w:rPr>
      </w:pPr>
      <w:r>
        <w:rPr>
          <w:rFonts w:ascii="Arial" w:hAnsi="Arial" w:cs="Arial"/>
          <w:bCs/>
          <w:sz w:val="18"/>
          <w:szCs w:val="18"/>
        </w:rPr>
        <w:t>STORAGE AND STABILITY</w:t>
      </w:r>
    </w:p>
    <w:p w14:paraId="54392384" w14:textId="77777777" w:rsidR="00DB5F94" w:rsidRDefault="00000000">
      <w:pPr>
        <w:numPr>
          <w:ilvl w:val="0"/>
          <w:numId w:val="2"/>
        </w:numPr>
        <w:tabs>
          <w:tab w:val="left" w:pos="360"/>
        </w:tabs>
        <w:jc w:val="both"/>
        <w:rPr>
          <w:rFonts w:ascii="Arial" w:hAnsi="Arial" w:cs="Arial"/>
          <w:bCs/>
          <w:sz w:val="18"/>
          <w:szCs w:val="18"/>
        </w:rPr>
      </w:pPr>
      <w:r>
        <w:rPr>
          <w:rFonts w:ascii="Arial" w:hAnsi="Arial" w:cs="Arial"/>
          <w:bCs/>
          <w:sz w:val="18"/>
          <w:szCs w:val="18"/>
        </w:rPr>
        <w:t xml:space="preserve">Anti-CCP kit is stable at 2-8°C </w:t>
      </w:r>
      <w:proofErr w:type="spellStart"/>
      <w:proofErr w:type="gramStart"/>
      <w:r>
        <w:rPr>
          <w:rFonts w:ascii="Arial" w:hAnsi="Arial" w:cs="Arial"/>
          <w:bCs/>
          <w:sz w:val="18"/>
          <w:szCs w:val="18"/>
        </w:rPr>
        <w:t>upto</w:t>
      </w:r>
      <w:proofErr w:type="spellEnd"/>
      <w:proofErr w:type="gramEnd"/>
      <w:r>
        <w:rPr>
          <w:rFonts w:ascii="Arial" w:hAnsi="Arial" w:cs="Arial"/>
          <w:bCs/>
          <w:sz w:val="18"/>
          <w:szCs w:val="18"/>
        </w:rPr>
        <w:t xml:space="preserve"> expiry date printed on the label.</w:t>
      </w:r>
    </w:p>
    <w:p w14:paraId="2F1468AE" w14:textId="77777777" w:rsidR="00DB5F94" w:rsidRDefault="00000000">
      <w:pPr>
        <w:numPr>
          <w:ilvl w:val="0"/>
          <w:numId w:val="2"/>
        </w:numPr>
        <w:tabs>
          <w:tab w:val="left" w:pos="360"/>
        </w:tabs>
        <w:jc w:val="both"/>
        <w:rPr>
          <w:rFonts w:ascii="Arial" w:hAnsi="Arial" w:cs="Arial"/>
          <w:bCs/>
          <w:sz w:val="18"/>
          <w:szCs w:val="18"/>
        </w:rPr>
      </w:pPr>
      <w:r>
        <w:rPr>
          <w:rFonts w:ascii="Arial" w:hAnsi="Arial" w:cs="Arial"/>
          <w:bCs/>
          <w:sz w:val="18"/>
          <w:szCs w:val="18"/>
        </w:rPr>
        <w:t xml:space="preserve">Coated microwells should be used within one month upon opening the pouch provided that once opened, the pouch must be resealed to protect from moisture. If the </w:t>
      </w:r>
      <w:proofErr w:type="spellStart"/>
      <w:r>
        <w:rPr>
          <w:rFonts w:ascii="Arial" w:hAnsi="Arial" w:cs="Arial"/>
          <w:bCs/>
          <w:sz w:val="18"/>
          <w:szCs w:val="18"/>
        </w:rPr>
        <w:t>colour</w:t>
      </w:r>
      <w:proofErr w:type="spellEnd"/>
      <w:r>
        <w:rPr>
          <w:rFonts w:ascii="Arial" w:hAnsi="Arial" w:cs="Arial"/>
          <w:bCs/>
          <w:sz w:val="18"/>
          <w:szCs w:val="18"/>
        </w:rPr>
        <w:t xml:space="preserve"> of the </w:t>
      </w:r>
      <w:proofErr w:type="spellStart"/>
      <w:r>
        <w:rPr>
          <w:rFonts w:ascii="Arial" w:hAnsi="Arial" w:cs="Arial"/>
          <w:bCs/>
          <w:sz w:val="18"/>
          <w:szCs w:val="18"/>
        </w:rPr>
        <w:t>dessicant</w:t>
      </w:r>
      <w:proofErr w:type="spellEnd"/>
      <w:r>
        <w:rPr>
          <w:rFonts w:ascii="Arial" w:hAnsi="Arial" w:cs="Arial"/>
          <w:bCs/>
          <w:sz w:val="18"/>
          <w:szCs w:val="18"/>
        </w:rPr>
        <w:t xml:space="preserve"> has changed from blue to pink at the time of opening the pouch, another coated microwells pouch should be used.</w:t>
      </w:r>
    </w:p>
    <w:p w14:paraId="3D009A00" w14:textId="77777777" w:rsidR="00DB5F94" w:rsidRDefault="00000000">
      <w:pPr>
        <w:numPr>
          <w:ilvl w:val="0"/>
          <w:numId w:val="2"/>
        </w:numPr>
        <w:tabs>
          <w:tab w:val="left" w:pos="360"/>
        </w:tabs>
        <w:jc w:val="both"/>
        <w:rPr>
          <w:rFonts w:ascii="Arial" w:hAnsi="Arial" w:cs="Arial"/>
          <w:bCs/>
          <w:sz w:val="18"/>
          <w:szCs w:val="18"/>
        </w:rPr>
      </w:pPr>
      <w:r>
        <w:rPr>
          <w:rFonts w:ascii="Arial" w:hAnsi="Arial" w:cs="Arial"/>
          <w:bCs/>
          <w:sz w:val="18"/>
          <w:szCs w:val="18"/>
        </w:rPr>
        <w:t xml:space="preserve">Diluted Wash Buffer is stable for </w:t>
      </w:r>
      <w:proofErr w:type="spellStart"/>
      <w:proofErr w:type="gramStart"/>
      <w:r>
        <w:rPr>
          <w:rFonts w:ascii="Arial" w:hAnsi="Arial" w:cs="Arial"/>
          <w:bCs/>
          <w:sz w:val="18"/>
          <w:szCs w:val="18"/>
        </w:rPr>
        <w:t>upto</w:t>
      </w:r>
      <w:proofErr w:type="spellEnd"/>
      <w:proofErr w:type="gramEnd"/>
      <w:r>
        <w:rPr>
          <w:rFonts w:ascii="Arial" w:hAnsi="Arial" w:cs="Arial"/>
          <w:bCs/>
          <w:sz w:val="18"/>
          <w:szCs w:val="18"/>
        </w:rPr>
        <w:t xml:space="preserve"> one week when stored at 2-8°C.</w:t>
      </w:r>
    </w:p>
    <w:p w14:paraId="5B20D414" w14:textId="77777777" w:rsidR="00DB5F94" w:rsidRDefault="00DB5F94">
      <w:pPr>
        <w:tabs>
          <w:tab w:val="left" w:pos="360"/>
        </w:tabs>
        <w:ind w:left="360"/>
        <w:jc w:val="both"/>
        <w:rPr>
          <w:rFonts w:ascii="Arial" w:hAnsi="Arial" w:cs="Arial"/>
          <w:bCs/>
          <w:sz w:val="18"/>
          <w:szCs w:val="18"/>
        </w:rPr>
      </w:pPr>
    </w:p>
    <w:p w14:paraId="1574FA8E" w14:textId="77777777" w:rsidR="00DB5F94" w:rsidRDefault="00000000">
      <w:pPr>
        <w:tabs>
          <w:tab w:val="left" w:pos="360"/>
        </w:tabs>
        <w:ind w:left="360"/>
        <w:jc w:val="both"/>
        <w:rPr>
          <w:rFonts w:ascii="Arial" w:hAnsi="Arial" w:cs="Arial"/>
          <w:bCs/>
          <w:sz w:val="18"/>
          <w:szCs w:val="18"/>
        </w:rPr>
      </w:pPr>
      <w:r>
        <w:rPr>
          <w:rFonts w:ascii="Arial" w:hAnsi="Arial" w:cs="Arial"/>
          <w:bCs/>
          <w:sz w:val="18"/>
          <w:szCs w:val="18"/>
        </w:rPr>
        <w:t>SPECIMEN COLLECTION</w:t>
      </w:r>
    </w:p>
    <w:p w14:paraId="43BCD3A8" w14:textId="77777777" w:rsidR="00DB5F94"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Collect Blood specimen by venipuncture according to the standard procedure.</w:t>
      </w:r>
    </w:p>
    <w:p w14:paraId="3E10A51B" w14:textId="77777777" w:rsidR="00DB5F94"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Only serum should be used.</w:t>
      </w:r>
    </w:p>
    <w:p w14:paraId="1F9AC4D1" w14:textId="77777777" w:rsidR="00DB5F94"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 xml:space="preserve">Avoid grossly hemolytic, lipemic or turbid samples. </w:t>
      </w:r>
    </w:p>
    <w:p w14:paraId="0F7D4EC2" w14:textId="77777777" w:rsidR="00DB5F94"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 xml:space="preserve">Preferably use fresh samples. However, specimens can be stored up to 48 hours at 2-8°C. </w:t>
      </w:r>
    </w:p>
    <w:p w14:paraId="5543313B" w14:textId="77777777" w:rsidR="00DB5F94"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For longer storage, specimens can be frozen at -20°C. Thawed samples must be mixed prior to testing.</w:t>
      </w:r>
    </w:p>
    <w:p w14:paraId="0DC48C96" w14:textId="77777777" w:rsidR="00DB5F94"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Do not heat inactivate before use.</w:t>
      </w:r>
    </w:p>
    <w:p w14:paraId="48521C66" w14:textId="77777777" w:rsidR="00DB5F94"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Specimen containing precipitate or particulate matter should be clarified by centrifugation prior to use.</w:t>
      </w:r>
    </w:p>
    <w:p w14:paraId="111860F4" w14:textId="77777777" w:rsidR="00DB5F94" w:rsidRDefault="00000000">
      <w:pPr>
        <w:numPr>
          <w:ilvl w:val="0"/>
          <w:numId w:val="3"/>
        </w:numPr>
        <w:tabs>
          <w:tab w:val="left" w:pos="360"/>
        </w:tabs>
        <w:jc w:val="both"/>
        <w:rPr>
          <w:rFonts w:ascii="Arial" w:hAnsi="Arial" w:cs="Arial"/>
          <w:bCs/>
          <w:sz w:val="18"/>
          <w:szCs w:val="18"/>
        </w:rPr>
      </w:pPr>
      <w:r>
        <w:rPr>
          <w:rFonts w:ascii="Arial" w:hAnsi="Arial" w:cs="Arial"/>
          <w:bCs/>
          <w:sz w:val="18"/>
          <w:szCs w:val="18"/>
        </w:rPr>
        <w:t>Specimen should be free from particulate matter and microbial contamination.</w:t>
      </w:r>
    </w:p>
    <w:p w14:paraId="6F4C39B1" w14:textId="77777777" w:rsidR="00DB5F94" w:rsidRDefault="00DB5F94">
      <w:pPr>
        <w:tabs>
          <w:tab w:val="left" w:pos="360"/>
        </w:tabs>
        <w:ind w:left="360"/>
        <w:jc w:val="both"/>
        <w:rPr>
          <w:rFonts w:ascii="Arial" w:hAnsi="Arial" w:cs="Arial"/>
          <w:bCs/>
          <w:sz w:val="18"/>
          <w:szCs w:val="18"/>
        </w:rPr>
      </w:pPr>
    </w:p>
    <w:p w14:paraId="5A4E3F53" w14:textId="77777777" w:rsidR="00DB5F94" w:rsidRDefault="00000000">
      <w:pPr>
        <w:tabs>
          <w:tab w:val="left" w:pos="360"/>
        </w:tabs>
        <w:ind w:left="360"/>
        <w:jc w:val="both"/>
        <w:rPr>
          <w:rFonts w:ascii="Arial" w:hAnsi="Arial" w:cs="Arial"/>
          <w:bCs/>
          <w:sz w:val="18"/>
          <w:szCs w:val="18"/>
        </w:rPr>
      </w:pPr>
      <w:r>
        <w:rPr>
          <w:rFonts w:ascii="Arial" w:hAnsi="Arial" w:cs="Arial"/>
          <w:bCs/>
          <w:sz w:val="18"/>
          <w:szCs w:val="18"/>
        </w:rPr>
        <w:t>PRECAUTIONS</w:t>
      </w:r>
    </w:p>
    <w:p w14:paraId="06E02F18" w14:textId="77777777" w:rsidR="00DB5F94"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Bring all reagents and specimen to room temperature before use. </w:t>
      </w:r>
    </w:p>
    <w:p w14:paraId="617B5A53" w14:textId="77777777" w:rsidR="00DB5F94"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Do not pipette any material by mouth. </w:t>
      </w:r>
    </w:p>
    <w:p w14:paraId="5444FB3E" w14:textId="77777777" w:rsidR="00DB5F94"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Do not eat, drink or smoke in the area where testing is done. </w:t>
      </w:r>
    </w:p>
    <w:p w14:paraId="7567523C" w14:textId="77777777" w:rsidR="00DB5F94"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lastRenderedPageBreak/>
        <w:t xml:space="preserve">Use protective clothing and wear gloves when handling samples. </w:t>
      </w:r>
    </w:p>
    <w:p w14:paraId="17CACA66" w14:textId="77777777" w:rsidR="00DB5F94"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Use absorbent </w:t>
      </w:r>
      <w:proofErr w:type="gramStart"/>
      <w:r>
        <w:rPr>
          <w:rFonts w:ascii="Arial" w:hAnsi="Arial" w:cs="Arial"/>
          <w:bCs/>
          <w:sz w:val="18"/>
          <w:szCs w:val="18"/>
        </w:rPr>
        <w:t>sheet</w:t>
      </w:r>
      <w:proofErr w:type="gramEnd"/>
      <w:r>
        <w:rPr>
          <w:rFonts w:ascii="Arial" w:hAnsi="Arial" w:cs="Arial"/>
          <w:bCs/>
          <w:sz w:val="18"/>
          <w:szCs w:val="18"/>
        </w:rPr>
        <w:t xml:space="preserve"> to cover the working area. </w:t>
      </w:r>
    </w:p>
    <w:p w14:paraId="59C3759B" w14:textId="77777777" w:rsidR="00DB5F94"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Immediately clean up any spills with sodium hypochlorite.</w:t>
      </w:r>
    </w:p>
    <w:p w14:paraId="3A83B13F" w14:textId="77777777" w:rsidR="00DB5F94"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All specimens, standards, negative control and positive control should be considered potentially infectious and discarded appropriately. </w:t>
      </w:r>
    </w:p>
    <w:p w14:paraId="693393FA" w14:textId="77777777" w:rsidR="00DB5F94"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Neutralize acid containing waste before adding hypochlorite. </w:t>
      </w:r>
    </w:p>
    <w:p w14:paraId="7AC0D2B5" w14:textId="77777777" w:rsidR="00DB5F94"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Do not use </w:t>
      </w:r>
      <w:proofErr w:type="gramStart"/>
      <w:r>
        <w:rPr>
          <w:rFonts w:ascii="Arial" w:hAnsi="Arial" w:cs="Arial"/>
          <w:bCs/>
          <w:sz w:val="18"/>
          <w:szCs w:val="18"/>
        </w:rPr>
        <w:t>kit</w:t>
      </w:r>
      <w:proofErr w:type="gramEnd"/>
      <w:r>
        <w:rPr>
          <w:rFonts w:ascii="Arial" w:hAnsi="Arial" w:cs="Arial"/>
          <w:bCs/>
          <w:sz w:val="18"/>
          <w:szCs w:val="18"/>
        </w:rPr>
        <w:t xml:space="preserve"> after the expiry date. </w:t>
      </w:r>
    </w:p>
    <w:p w14:paraId="52605161" w14:textId="77777777" w:rsidR="00DB5F94"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Do not mix components of one kit with another.</w:t>
      </w:r>
    </w:p>
    <w:p w14:paraId="541ED82B" w14:textId="77777777" w:rsidR="00DB5F94"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Always use new tip for each specimen and reagent. </w:t>
      </w:r>
    </w:p>
    <w:p w14:paraId="3E57D2F8" w14:textId="77777777" w:rsidR="00DB5F94"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 xml:space="preserve">Do not allow liquid from one well to mix with other wells. </w:t>
      </w:r>
    </w:p>
    <w:p w14:paraId="4A455CC5" w14:textId="77777777" w:rsidR="00DB5F94" w:rsidRDefault="00000000">
      <w:pPr>
        <w:numPr>
          <w:ilvl w:val="0"/>
          <w:numId w:val="4"/>
        </w:numPr>
        <w:tabs>
          <w:tab w:val="left" w:pos="360"/>
        </w:tabs>
        <w:jc w:val="both"/>
        <w:rPr>
          <w:rFonts w:ascii="Arial" w:hAnsi="Arial" w:cs="Arial"/>
          <w:bCs/>
          <w:sz w:val="18"/>
          <w:szCs w:val="18"/>
        </w:rPr>
      </w:pPr>
      <w:r>
        <w:rPr>
          <w:rFonts w:ascii="Arial" w:hAnsi="Arial" w:cs="Arial"/>
          <w:bCs/>
          <w:sz w:val="18"/>
          <w:szCs w:val="18"/>
        </w:rPr>
        <w:t>Do not let the strips dry in between the steps.</w:t>
      </w:r>
    </w:p>
    <w:p w14:paraId="6204C1E3" w14:textId="77777777" w:rsidR="00DB5F94" w:rsidRDefault="00DB5F94">
      <w:pPr>
        <w:tabs>
          <w:tab w:val="left" w:pos="360"/>
        </w:tabs>
        <w:ind w:left="360"/>
        <w:jc w:val="both"/>
        <w:rPr>
          <w:rFonts w:ascii="Arial" w:hAnsi="Arial" w:cs="Arial"/>
          <w:bCs/>
          <w:sz w:val="18"/>
          <w:szCs w:val="18"/>
        </w:rPr>
      </w:pPr>
    </w:p>
    <w:p w14:paraId="6B8F16E0" w14:textId="77777777" w:rsidR="00DB5F94" w:rsidRDefault="00000000">
      <w:pPr>
        <w:tabs>
          <w:tab w:val="left" w:pos="360"/>
        </w:tabs>
        <w:ind w:left="360"/>
        <w:jc w:val="both"/>
        <w:rPr>
          <w:rFonts w:ascii="Arial" w:hAnsi="Arial" w:cs="Arial"/>
          <w:bCs/>
          <w:sz w:val="18"/>
          <w:szCs w:val="18"/>
        </w:rPr>
      </w:pPr>
      <w:r>
        <w:rPr>
          <w:rFonts w:ascii="Arial" w:hAnsi="Arial" w:cs="Arial"/>
          <w:bCs/>
          <w:sz w:val="18"/>
          <w:szCs w:val="18"/>
        </w:rPr>
        <w:t>REAGENT PREPARATION</w:t>
      </w:r>
    </w:p>
    <w:p w14:paraId="6B6D816A" w14:textId="77777777" w:rsidR="00DB5F94"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All reagents should be brought to room temperature (18-25°C) and mixed by gently inverting or swirling prior to use. Do not induce foaming.</w:t>
      </w:r>
    </w:p>
    <w:p w14:paraId="630AAB07" w14:textId="77777777" w:rsidR="00DB5F94" w:rsidRDefault="00000000">
      <w:pPr>
        <w:numPr>
          <w:ilvl w:val="0"/>
          <w:numId w:val="5"/>
        </w:numPr>
        <w:tabs>
          <w:tab w:val="left" w:pos="360"/>
        </w:tabs>
        <w:jc w:val="both"/>
        <w:rPr>
          <w:rFonts w:ascii="Arial" w:hAnsi="Arial" w:cs="Arial"/>
          <w:bCs/>
          <w:sz w:val="18"/>
          <w:szCs w:val="18"/>
        </w:rPr>
      </w:pPr>
      <w:r>
        <w:rPr>
          <w:rFonts w:ascii="Arial" w:hAnsi="Arial" w:cs="Arial"/>
          <w:bCs/>
          <w:sz w:val="18"/>
          <w:szCs w:val="18"/>
        </w:rPr>
        <w:t xml:space="preserve">Dilute Wash Buffer 20 times (for example add 5ml concentrated buffer to 95 ml distilled or deionized water). Mix well before use. </w:t>
      </w:r>
    </w:p>
    <w:p w14:paraId="2B501E8F" w14:textId="77777777" w:rsidR="00DB5F94" w:rsidRDefault="00DB5F94">
      <w:pPr>
        <w:tabs>
          <w:tab w:val="left" w:pos="360"/>
        </w:tabs>
        <w:ind w:left="360"/>
        <w:jc w:val="both"/>
        <w:rPr>
          <w:rFonts w:ascii="Arial" w:hAnsi="Arial" w:cs="Arial"/>
          <w:bCs/>
          <w:sz w:val="18"/>
          <w:szCs w:val="18"/>
        </w:rPr>
      </w:pPr>
    </w:p>
    <w:p w14:paraId="3BB126D2" w14:textId="77777777" w:rsidR="00DB5F94" w:rsidRDefault="00DB5F94">
      <w:pPr>
        <w:tabs>
          <w:tab w:val="left" w:pos="360"/>
        </w:tabs>
        <w:ind w:left="360"/>
        <w:jc w:val="both"/>
        <w:rPr>
          <w:rFonts w:ascii="Arial" w:hAnsi="Arial" w:cs="Arial"/>
          <w:bCs/>
          <w:sz w:val="18"/>
          <w:szCs w:val="18"/>
        </w:rPr>
      </w:pPr>
    </w:p>
    <w:p w14:paraId="162B1C16" w14:textId="77777777" w:rsidR="00DB5F94" w:rsidRDefault="00000000">
      <w:pPr>
        <w:tabs>
          <w:tab w:val="left" w:pos="360"/>
        </w:tabs>
        <w:ind w:left="360"/>
        <w:jc w:val="both"/>
        <w:rPr>
          <w:rFonts w:ascii="Arial" w:hAnsi="Arial" w:cs="Arial"/>
          <w:bCs/>
          <w:sz w:val="18"/>
          <w:szCs w:val="18"/>
        </w:rPr>
      </w:pPr>
      <w:r>
        <w:rPr>
          <w:rFonts w:ascii="Arial" w:hAnsi="Arial" w:cs="Arial"/>
          <w:bCs/>
          <w:sz w:val="18"/>
          <w:szCs w:val="18"/>
        </w:rPr>
        <w:t>TEST PROCEDURE</w:t>
      </w:r>
    </w:p>
    <w:p w14:paraId="0EE12AA6" w14:textId="77777777" w:rsidR="00DB5F94"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Bring all the reagents and patient samples to room temperature.</w:t>
      </w:r>
    </w:p>
    <w:p w14:paraId="6F2DCDB0" w14:textId="77777777" w:rsidR="00DB5F94"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 xml:space="preserve">Secure the desired number of coated wells in the holder. </w:t>
      </w:r>
    </w:p>
    <w:p w14:paraId="4B38B94C" w14:textId="77777777" w:rsidR="00DB5F94"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Dispense 100 µl Standards/NC/PC in appropriate wells.</w:t>
      </w:r>
    </w:p>
    <w:p w14:paraId="5A2962DD" w14:textId="77777777" w:rsidR="00DB5F94"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Dispense 100 µl of sample diluent in remaining wells.</w:t>
      </w:r>
    </w:p>
    <w:p w14:paraId="00C2925A" w14:textId="77777777" w:rsidR="00DB5F94"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Add 10 µl of samples into appropriate wells containing sample diluent. Tap the holder to remove air bubbles from the liquid and mix well. Incubate at room temperature (18-25°C) for 30 minutes.</w:t>
      </w:r>
    </w:p>
    <w:p w14:paraId="437546E9" w14:textId="77777777" w:rsidR="00DB5F94"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 xml:space="preserve">After incubation, empty the </w:t>
      </w:r>
      <w:proofErr w:type="spellStart"/>
      <w:r>
        <w:rPr>
          <w:rFonts w:ascii="Arial" w:hAnsi="Arial" w:cs="Arial"/>
          <w:bCs/>
          <w:sz w:val="18"/>
          <w:szCs w:val="18"/>
        </w:rPr>
        <w:t>microtitre</w:t>
      </w:r>
      <w:proofErr w:type="spellEnd"/>
      <w:r>
        <w:rPr>
          <w:rFonts w:ascii="Arial" w:hAnsi="Arial" w:cs="Arial"/>
          <w:bCs/>
          <w:sz w:val="18"/>
          <w:szCs w:val="18"/>
        </w:rPr>
        <w:t xml:space="preserve"> wells and wash the plate 3 times with 350 µl of diluted wash buffer. Strike the </w:t>
      </w:r>
      <w:proofErr w:type="spellStart"/>
      <w:r>
        <w:rPr>
          <w:rFonts w:ascii="Arial" w:hAnsi="Arial" w:cs="Arial"/>
          <w:bCs/>
          <w:sz w:val="18"/>
          <w:szCs w:val="18"/>
        </w:rPr>
        <w:t>microtitre</w:t>
      </w:r>
      <w:proofErr w:type="spellEnd"/>
      <w:r>
        <w:rPr>
          <w:rFonts w:ascii="Arial" w:hAnsi="Arial" w:cs="Arial"/>
          <w:bCs/>
          <w:sz w:val="18"/>
          <w:szCs w:val="18"/>
        </w:rPr>
        <w:t xml:space="preserve"> plate sharply onto the absorbent paper towel to remove all residual droplets.</w:t>
      </w:r>
    </w:p>
    <w:p w14:paraId="052E25AD" w14:textId="77777777" w:rsidR="00DB5F94"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Dispense 100µl of Enzyme Conjugate into each well.  Incubate at room temperature (18-25°C) for 30 minutes.</w:t>
      </w:r>
    </w:p>
    <w:p w14:paraId="5668124C" w14:textId="77777777" w:rsidR="00DB5F94"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Remove the incubation mixture by emptying the plate (repeat step 6).</w:t>
      </w:r>
    </w:p>
    <w:p w14:paraId="7192CD24" w14:textId="77777777" w:rsidR="00DB5F94"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Dispense 100µl of TMB substrate into each well. Incubate at room temperature (18-25°C), in the dark (without shaking) for 15 minutes.</w:t>
      </w:r>
    </w:p>
    <w:p w14:paraId="27D4CE9F" w14:textId="20281DA8" w:rsidR="00DB5F94"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 xml:space="preserve">Stop the reaction by adding 100 µl of Stop Solution to each well. Gently mix </w:t>
      </w:r>
      <w:proofErr w:type="gramStart"/>
      <w:r>
        <w:rPr>
          <w:rFonts w:ascii="Arial" w:hAnsi="Arial" w:cs="Arial"/>
          <w:bCs/>
          <w:sz w:val="18"/>
          <w:szCs w:val="18"/>
        </w:rPr>
        <w:t>or</w:t>
      </w:r>
      <w:proofErr w:type="gramEnd"/>
      <w:r>
        <w:rPr>
          <w:rFonts w:ascii="Arial" w:hAnsi="Arial" w:cs="Arial"/>
          <w:bCs/>
          <w:sz w:val="18"/>
          <w:szCs w:val="18"/>
        </w:rPr>
        <w:t xml:space="preserve"> 10 seconds until the blue color completely changes to yellow.   </w:t>
      </w:r>
    </w:p>
    <w:p w14:paraId="2A077D02" w14:textId="77777777" w:rsidR="00DB5F94" w:rsidRDefault="00000000">
      <w:pPr>
        <w:numPr>
          <w:ilvl w:val="0"/>
          <w:numId w:val="6"/>
        </w:numPr>
        <w:tabs>
          <w:tab w:val="left" w:pos="360"/>
        </w:tabs>
        <w:jc w:val="both"/>
        <w:rPr>
          <w:rFonts w:ascii="Arial" w:hAnsi="Arial" w:cs="Arial"/>
          <w:bCs/>
          <w:sz w:val="18"/>
          <w:szCs w:val="18"/>
        </w:rPr>
      </w:pPr>
      <w:r>
        <w:rPr>
          <w:rFonts w:ascii="Arial" w:hAnsi="Arial" w:cs="Arial"/>
          <w:bCs/>
          <w:sz w:val="18"/>
          <w:szCs w:val="18"/>
        </w:rPr>
        <w:t>Read the optical density at 450/630 nm with a microtiter plate reader within 15 minutes.</w:t>
      </w:r>
    </w:p>
    <w:p w14:paraId="7C5387FF" w14:textId="77777777" w:rsidR="00DB5F94" w:rsidRDefault="00DB5F94">
      <w:pPr>
        <w:tabs>
          <w:tab w:val="left" w:pos="360"/>
        </w:tabs>
        <w:ind w:left="360"/>
        <w:jc w:val="both"/>
        <w:rPr>
          <w:rFonts w:ascii="Arial" w:hAnsi="Arial" w:cs="Arial"/>
          <w:bCs/>
          <w:sz w:val="18"/>
          <w:szCs w:val="18"/>
        </w:rPr>
      </w:pPr>
    </w:p>
    <w:tbl>
      <w:tblPr>
        <w:tblpPr w:leftFromText="180" w:rightFromText="180" w:vertAnchor="text" w:horzAnchor="page" w:tblpX="6384" w:tblpY="11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73"/>
      </w:tblGrid>
      <w:tr w:rsidR="00DB5F94" w14:paraId="14D58BD8" w14:textId="77777777" w:rsidTr="00F81837">
        <w:trPr>
          <w:trHeight w:val="558"/>
        </w:trPr>
        <w:tc>
          <w:tcPr>
            <w:tcW w:w="3773" w:type="dxa"/>
            <w:shd w:val="clear" w:color="auto" w:fill="auto"/>
          </w:tcPr>
          <w:p w14:paraId="2B952C69" w14:textId="77777777" w:rsidR="00DB5F94" w:rsidRDefault="00000000">
            <w:pPr>
              <w:tabs>
                <w:tab w:val="left" w:pos="360"/>
              </w:tabs>
              <w:jc w:val="both"/>
              <w:rPr>
                <w:rFonts w:ascii="Arial" w:hAnsi="Arial" w:cs="Arial"/>
                <w:bCs/>
                <w:sz w:val="18"/>
                <w:szCs w:val="18"/>
              </w:rPr>
            </w:pPr>
            <w:r>
              <w:rPr>
                <w:rFonts w:ascii="Arial" w:hAnsi="Arial" w:cs="Arial"/>
                <w:bCs/>
                <w:sz w:val="18"/>
                <w:szCs w:val="18"/>
              </w:rPr>
              <w:t>Add 100 µl Standards/NC/PC into the respective Microwells.</w:t>
            </w:r>
          </w:p>
        </w:tc>
      </w:tr>
    </w:tbl>
    <w:p w14:paraId="5F628CD2" w14:textId="237A685D" w:rsidR="00DB5F94" w:rsidRDefault="00000000">
      <w:pPr>
        <w:tabs>
          <w:tab w:val="left" w:pos="360"/>
        </w:tabs>
        <w:jc w:val="both"/>
        <w:rPr>
          <w:rFonts w:ascii="Arial" w:hAnsi="Arial" w:cs="Arial"/>
          <w:bCs/>
          <w:sz w:val="18"/>
          <w:szCs w:val="18"/>
        </w:rPr>
      </w:pPr>
      <w:r>
        <w:rPr>
          <w:rFonts w:ascii="Arial" w:hAnsi="Arial" w:cs="Arial"/>
          <w:bCs/>
          <w:sz w:val="18"/>
          <w:szCs w:val="18"/>
        </w:rPr>
        <w:pict w14:anchorId="5203ABB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53" type="#_x0000_t67" style="position:absolute;left:0;text-align:left;margin-left:100.3pt;margin-top:38.5pt;width:6pt;height:21pt;z-index:2;mso-position-horizontal-relative:text;mso-position-vertical-relative:text;mso-width-relative:page;mso-height-relative:page" fillcolor="black">
            <v:textbox style="layout-flow:vertical-ideographic"/>
          </v:shape>
        </w:pict>
      </w:r>
    </w:p>
    <w:p w14:paraId="62C14CB2" w14:textId="419F9DED" w:rsidR="00DB5F94" w:rsidRDefault="00DB5F94">
      <w:pPr>
        <w:tabs>
          <w:tab w:val="left" w:pos="360"/>
        </w:tabs>
        <w:jc w:val="both"/>
        <w:rPr>
          <w:rFonts w:ascii="Arial" w:hAnsi="Arial" w:cs="Arial"/>
          <w:bCs/>
          <w:sz w:val="18"/>
          <w:szCs w:val="18"/>
        </w:rPr>
      </w:pPr>
    </w:p>
    <w:tbl>
      <w:tblPr>
        <w:tblpPr w:leftFromText="180" w:rightFromText="180" w:vertAnchor="text" w:horzAnchor="page" w:tblpX="6373" w:tblpY="15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tblGrid>
      <w:tr w:rsidR="00DB5F94" w14:paraId="4E67E52D" w14:textId="77777777">
        <w:tc>
          <w:tcPr>
            <w:tcW w:w="3696" w:type="dxa"/>
            <w:shd w:val="clear" w:color="auto" w:fill="auto"/>
          </w:tcPr>
          <w:p w14:paraId="2CA844E6" w14:textId="77777777" w:rsidR="00DB5F94" w:rsidRDefault="00000000">
            <w:pPr>
              <w:tabs>
                <w:tab w:val="left" w:pos="360"/>
              </w:tabs>
              <w:jc w:val="both"/>
              <w:rPr>
                <w:rFonts w:ascii="Arial" w:hAnsi="Arial" w:cs="Arial"/>
                <w:bCs/>
                <w:sz w:val="18"/>
                <w:szCs w:val="18"/>
              </w:rPr>
            </w:pPr>
            <w:r>
              <w:rPr>
                <w:rFonts w:ascii="Arial" w:hAnsi="Arial" w:cs="Arial"/>
                <w:bCs/>
                <w:sz w:val="18"/>
                <w:szCs w:val="18"/>
              </w:rPr>
              <w:t>Add 100 µl sample diluent in remaining wells.</w:t>
            </w:r>
          </w:p>
        </w:tc>
      </w:tr>
    </w:tbl>
    <w:p w14:paraId="02CFBCFA" w14:textId="77777777" w:rsidR="00DB5F94" w:rsidRDefault="00000000">
      <w:pPr>
        <w:tabs>
          <w:tab w:val="left" w:pos="360"/>
        </w:tabs>
        <w:ind w:left="360" w:hanging="360"/>
        <w:jc w:val="both"/>
        <w:rPr>
          <w:rFonts w:ascii="Arial" w:hAnsi="Arial" w:cs="Arial"/>
          <w:bCs/>
          <w:sz w:val="18"/>
          <w:szCs w:val="18"/>
        </w:rPr>
      </w:pPr>
      <w:r>
        <w:rPr>
          <w:rFonts w:ascii="Arial" w:hAnsi="Arial" w:cs="Arial"/>
          <w:bCs/>
          <w:sz w:val="18"/>
          <w:szCs w:val="18"/>
        </w:rPr>
        <w:pict w14:anchorId="71E0693E">
          <v:shape id="_x0000_s1063" type="#_x0000_t67" style="position:absolute;left:0;text-align:left;margin-left:98.25pt;margin-top:32pt;width:6pt;height:21pt;z-index:3;mso-position-horizontal-relative:text;mso-position-vertical-relative:text;mso-width-relative:page;mso-height-relative:page" fillcolor="black">
            <v:textbox style="layout-flow:vertical-ideographic"/>
          </v:shape>
        </w:pict>
      </w:r>
    </w:p>
    <w:p w14:paraId="76917D30" w14:textId="77777777" w:rsidR="00DB5F94" w:rsidRDefault="00DB5F94">
      <w:pPr>
        <w:tabs>
          <w:tab w:val="left" w:pos="360"/>
        </w:tabs>
        <w:ind w:left="360" w:hanging="360"/>
        <w:jc w:val="both"/>
        <w:rPr>
          <w:rFonts w:ascii="Arial" w:hAnsi="Arial" w:cs="Arial"/>
          <w:bCs/>
          <w:sz w:val="18"/>
          <w:szCs w:val="18"/>
        </w:rPr>
      </w:pPr>
    </w:p>
    <w:tbl>
      <w:tblPr>
        <w:tblpPr w:leftFromText="180" w:rightFromText="180" w:vertAnchor="text" w:horzAnchor="page" w:tblpX="6292" w:tblpY="14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80"/>
      </w:tblGrid>
      <w:tr w:rsidR="00DB5F94" w14:paraId="3262AF91" w14:textId="77777777">
        <w:tc>
          <w:tcPr>
            <w:tcW w:w="3780" w:type="dxa"/>
            <w:shd w:val="clear" w:color="auto" w:fill="auto"/>
          </w:tcPr>
          <w:p w14:paraId="467C8763" w14:textId="77777777" w:rsidR="00DB5F94" w:rsidRDefault="00000000">
            <w:pPr>
              <w:tabs>
                <w:tab w:val="left" w:pos="360"/>
              </w:tabs>
              <w:jc w:val="both"/>
              <w:rPr>
                <w:rFonts w:ascii="Arial" w:hAnsi="Arial" w:cs="Arial"/>
                <w:bCs/>
                <w:sz w:val="18"/>
                <w:szCs w:val="18"/>
              </w:rPr>
            </w:pPr>
            <w:r>
              <w:rPr>
                <w:rFonts w:ascii="Arial" w:hAnsi="Arial" w:cs="Arial"/>
                <w:bCs/>
                <w:sz w:val="18"/>
                <w:szCs w:val="18"/>
              </w:rPr>
              <w:t>Add 10 µl serum samples in wells containing sample diluent. Mix Well.</w:t>
            </w:r>
          </w:p>
        </w:tc>
      </w:tr>
    </w:tbl>
    <w:p w14:paraId="0EF615E9" w14:textId="77777777" w:rsidR="00DB5F94" w:rsidRDefault="00000000">
      <w:pPr>
        <w:tabs>
          <w:tab w:val="left" w:pos="360"/>
        </w:tabs>
        <w:ind w:left="360" w:hanging="360"/>
        <w:jc w:val="both"/>
        <w:rPr>
          <w:rFonts w:ascii="Arial" w:hAnsi="Arial" w:cs="Arial"/>
          <w:bCs/>
          <w:sz w:val="18"/>
          <w:szCs w:val="18"/>
        </w:rPr>
      </w:pPr>
      <w:r>
        <w:rPr>
          <w:rFonts w:ascii="Arial" w:hAnsi="Arial" w:cs="Arial"/>
          <w:bCs/>
          <w:sz w:val="18"/>
          <w:szCs w:val="18"/>
        </w:rPr>
        <w:pict w14:anchorId="49326BD4">
          <v:shape id="_x0000_s1064" type="#_x0000_t67" style="position:absolute;left:0;text-align:left;margin-left:98.25pt;margin-top:32.25pt;width:6pt;height:21pt;z-index:8;mso-position-horizontal-relative:text;mso-position-vertical-relative:text;mso-width-relative:page;mso-height-relative:page" fillcolor="black">
            <v:textbox style="layout-flow:vertical-ideographic"/>
          </v:shape>
        </w:pict>
      </w:r>
    </w:p>
    <w:p w14:paraId="11B34305" w14:textId="77777777" w:rsidR="00DB5F94" w:rsidRDefault="00DB5F94">
      <w:pPr>
        <w:tabs>
          <w:tab w:val="left" w:pos="360"/>
        </w:tabs>
        <w:ind w:left="360" w:hanging="360"/>
        <w:jc w:val="both"/>
        <w:rPr>
          <w:rFonts w:ascii="Arial" w:hAnsi="Arial" w:cs="Arial"/>
          <w:bCs/>
          <w:sz w:val="18"/>
          <w:szCs w:val="18"/>
        </w:rPr>
      </w:pPr>
    </w:p>
    <w:tbl>
      <w:tblPr>
        <w:tblpPr w:leftFromText="180" w:rightFromText="180" w:vertAnchor="text" w:horzAnchor="page" w:tblpX="6269" w:tblpY="15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4"/>
      </w:tblGrid>
      <w:tr w:rsidR="00DB5F94" w14:paraId="2A998188" w14:textId="77777777">
        <w:tc>
          <w:tcPr>
            <w:tcW w:w="3814" w:type="dxa"/>
            <w:shd w:val="clear" w:color="auto" w:fill="auto"/>
          </w:tcPr>
          <w:p w14:paraId="251ED336" w14:textId="77777777" w:rsidR="00DB5F94" w:rsidRDefault="00000000">
            <w:pPr>
              <w:tabs>
                <w:tab w:val="left" w:pos="360"/>
              </w:tabs>
              <w:jc w:val="both"/>
              <w:rPr>
                <w:rFonts w:ascii="Arial" w:hAnsi="Arial" w:cs="Arial"/>
                <w:bCs/>
                <w:sz w:val="18"/>
                <w:szCs w:val="18"/>
              </w:rPr>
            </w:pPr>
            <w:r>
              <w:rPr>
                <w:rFonts w:ascii="Arial" w:hAnsi="Arial" w:cs="Arial"/>
                <w:bCs/>
                <w:sz w:val="18"/>
                <w:szCs w:val="18"/>
              </w:rPr>
              <w:t>Apply plate sealer and incubate for 30 minutes at 18-25°C.</w:t>
            </w:r>
          </w:p>
        </w:tc>
      </w:tr>
    </w:tbl>
    <w:p w14:paraId="5E0AF9BF" w14:textId="77777777" w:rsidR="00DB5F94" w:rsidRDefault="00000000">
      <w:pPr>
        <w:tabs>
          <w:tab w:val="left" w:pos="360"/>
        </w:tabs>
        <w:ind w:left="360" w:hanging="360"/>
        <w:jc w:val="both"/>
        <w:rPr>
          <w:rFonts w:ascii="Arial" w:hAnsi="Arial" w:cs="Arial"/>
          <w:bCs/>
          <w:sz w:val="18"/>
          <w:szCs w:val="18"/>
        </w:rPr>
      </w:pPr>
      <w:r>
        <w:rPr>
          <w:rFonts w:ascii="Arial" w:hAnsi="Arial" w:cs="Arial"/>
          <w:bCs/>
          <w:sz w:val="18"/>
          <w:szCs w:val="18"/>
        </w:rPr>
        <w:pict w14:anchorId="2E5F8B0B">
          <v:shape id="_x0000_s1041" type="#_x0000_t67" style="position:absolute;left:0;text-align:left;margin-left:97.8pt;margin-top:31.05pt;width:6pt;height:21pt;z-index:4;mso-position-horizontal-relative:text;mso-position-vertical-relative:text;mso-width-relative:page;mso-height-relative:page" fillcolor="black">
            <v:textbox style="layout-flow:vertical-ideographic"/>
          </v:shape>
        </w:pict>
      </w:r>
    </w:p>
    <w:p w14:paraId="661C0F31" w14:textId="77777777" w:rsidR="00DB5F94" w:rsidRDefault="00DB5F94">
      <w:pPr>
        <w:tabs>
          <w:tab w:val="left" w:pos="360"/>
        </w:tabs>
        <w:ind w:left="360" w:hanging="360"/>
        <w:jc w:val="both"/>
        <w:rPr>
          <w:rFonts w:ascii="Arial" w:hAnsi="Arial" w:cs="Arial"/>
          <w:bCs/>
          <w:sz w:val="18"/>
          <w:szCs w:val="18"/>
        </w:rPr>
      </w:pPr>
    </w:p>
    <w:tbl>
      <w:tblPr>
        <w:tblpPr w:leftFromText="180" w:rightFromText="180" w:vertAnchor="text" w:horzAnchor="page" w:tblpX="6246" w:tblpY="6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8"/>
      </w:tblGrid>
      <w:tr w:rsidR="00DB5F94" w14:paraId="08EF6A4F" w14:textId="77777777">
        <w:tc>
          <w:tcPr>
            <w:tcW w:w="3818" w:type="dxa"/>
            <w:shd w:val="clear" w:color="auto" w:fill="auto"/>
          </w:tcPr>
          <w:p w14:paraId="5D7FBFD6" w14:textId="77777777" w:rsidR="00DB5F94" w:rsidRDefault="00000000">
            <w:pPr>
              <w:tabs>
                <w:tab w:val="left" w:pos="360"/>
              </w:tabs>
              <w:jc w:val="both"/>
              <w:rPr>
                <w:rFonts w:ascii="Arial" w:hAnsi="Arial" w:cs="Arial"/>
                <w:bCs/>
                <w:sz w:val="18"/>
                <w:szCs w:val="18"/>
              </w:rPr>
            </w:pPr>
            <w:r>
              <w:rPr>
                <w:rFonts w:ascii="Arial" w:hAnsi="Arial" w:cs="Arial"/>
                <w:bCs/>
                <w:sz w:val="18"/>
                <w:szCs w:val="18"/>
              </w:rPr>
              <w:t>Wash Microwells 3 times with 350 µl of diluted wash buffer.</w:t>
            </w:r>
          </w:p>
        </w:tc>
      </w:tr>
    </w:tbl>
    <w:p w14:paraId="63CE0BF3" w14:textId="77777777" w:rsidR="00DB5F94" w:rsidRDefault="00000000">
      <w:pPr>
        <w:tabs>
          <w:tab w:val="left" w:pos="360"/>
        </w:tabs>
        <w:ind w:left="360" w:hanging="360"/>
        <w:jc w:val="both"/>
        <w:rPr>
          <w:rFonts w:ascii="Arial" w:hAnsi="Arial" w:cs="Arial"/>
          <w:bCs/>
          <w:sz w:val="18"/>
          <w:szCs w:val="18"/>
        </w:rPr>
      </w:pPr>
      <w:r>
        <w:rPr>
          <w:rFonts w:ascii="Arial" w:hAnsi="Arial" w:cs="Arial"/>
          <w:bCs/>
          <w:sz w:val="18"/>
          <w:szCs w:val="18"/>
        </w:rPr>
        <w:pict w14:anchorId="2265F579">
          <v:shape id="_x0000_s1062" type="#_x0000_t67" style="position:absolute;left:0;text-align:left;margin-left:98pt;margin-top:28pt;width:6pt;height:21pt;z-index:5;mso-position-horizontal-relative:text;mso-position-vertical-relative:text;mso-width-relative:page;mso-height-relative:page" fillcolor="black">
            <v:textbox style="layout-flow:vertical-ideographic"/>
          </v:shape>
        </w:pict>
      </w:r>
    </w:p>
    <w:p w14:paraId="72AD4C68" w14:textId="77777777" w:rsidR="00DB5F94" w:rsidRDefault="00DB5F94">
      <w:pPr>
        <w:tabs>
          <w:tab w:val="left" w:pos="360"/>
        </w:tabs>
        <w:ind w:left="360" w:hanging="360"/>
        <w:jc w:val="both"/>
        <w:rPr>
          <w:rFonts w:ascii="Arial" w:hAnsi="Arial" w:cs="Arial"/>
          <w:bCs/>
          <w:sz w:val="18"/>
          <w:szCs w:val="18"/>
        </w:rPr>
      </w:pPr>
    </w:p>
    <w:tbl>
      <w:tblPr>
        <w:tblpPr w:leftFromText="180" w:rightFromText="180" w:vertAnchor="text" w:horzAnchor="page" w:tblpX="6234" w:tblpY="8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5"/>
      </w:tblGrid>
      <w:tr w:rsidR="00DB5F94" w14:paraId="5DE8B005" w14:textId="77777777">
        <w:tc>
          <w:tcPr>
            <w:tcW w:w="3815" w:type="dxa"/>
            <w:shd w:val="clear" w:color="auto" w:fill="auto"/>
          </w:tcPr>
          <w:p w14:paraId="7D591788" w14:textId="77777777" w:rsidR="00DB5F94" w:rsidRDefault="00000000">
            <w:pPr>
              <w:tabs>
                <w:tab w:val="left" w:pos="360"/>
              </w:tabs>
              <w:ind w:left="360" w:hanging="360"/>
              <w:jc w:val="center"/>
              <w:rPr>
                <w:rFonts w:ascii="Arial" w:hAnsi="Arial" w:cs="Arial"/>
                <w:bCs/>
                <w:sz w:val="18"/>
                <w:szCs w:val="18"/>
              </w:rPr>
            </w:pPr>
            <w:r>
              <w:rPr>
                <w:rFonts w:ascii="Arial" w:hAnsi="Arial" w:cs="Arial"/>
                <w:bCs/>
                <w:sz w:val="18"/>
                <w:szCs w:val="18"/>
              </w:rPr>
              <w:t>Add 100 µl Enzyme Conjugate in each well.</w:t>
            </w:r>
          </w:p>
        </w:tc>
      </w:tr>
    </w:tbl>
    <w:p w14:paraId="42B59425" w14:textId="77777777" w:rsidR="00DB5F94" w:rsidRDefault="00000000">
      <w:pPr>
        <w:tabs>
          <w:tab w:val="left" w:pos="360"/>
        </w:tabs>
        <w:ind w:left="360" w:hanging="360"/>
        <w:jc w:val="both"/>
        <w:rPr>
          <w:rFonts w:ascii="Arial" w:hAnsi="Arial" w:cs="Arial"/>
          <w:bCs/>
          <w:sz w:val="18"/>
          <w:szCs w:val="18"/>
        </w:rPr>
      </w:pPr>
      <w:r>
        <w:rPr>
          <w:rFonts w:ascii="Arial" w:hAnsi="Arial" w:cs="Arial"/>
          <w:bCs/>
          <w:sz w:val="18"/>
          <w:szCs w:val="18"/>
        </w:rPr>
        <w:pict w14:anchorId="3C86D995">
          <v:shape id="_x0000_s1067" type="#_x0000_t67" style="position:absolute;left:0;text-align:left;margin-left:96.85pt;margin-top:18.75pt;width:6pt;height:21pt;z-index:9;mso-position-horizontal-relative:text;mso-position-vertical-relative:text;mso-width-relative:page;mso-height-relative:page" fillcolor="black">
            <v:textbox style="layout-flow:vertical-ideographic"/>
          </v:shape>
        </w:pict>
      </w:r>
    </w:p>
    <w:p w14:paraId="4B013199" w14:textId="77777777" w:rsidR="00DB5F94" w:rsidRDefault="00DB5F94">
      <w:pPr>
        <w:tabs>
          <w:tab w:val="left" w:pos="360"/>
        </w:tabs>
        <w:ind w:left="360" w:hanging="360"/>
        <w:jc w:val="both"/>
        <w:rPr>
          <w:rFonts w:ascii="Arial" w:hAnsi="Arial" w:cs="Arial"/>
          <w:bCs/>
          <w:sz w:val="18"/>
          <w:szCs w:val="18"/>
        </w:rPr>
      </w:pPr>
    </w:p>
    <w:tbl>
      <w:tblPr>
        <w:tblpPr w:leftFromText="180" w:rightFromText="180" w:vertAnchor="text" w:horzAnchor="page" w:tblpX="6234" w:tblpY="13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30"/>
      </w:tblGrid>
      <w:tr w:rsidR="00DB5F94" w14:paraId="1A780845" w14:textId="77777777">
        <w:tc>
          <w:tcPr>
            <w:tcW w:w="3830" w:type="dxa"/>
            <w:shd w:val="clear" w:color="auto" w:fill="auto"/>
          </w:tcPr>
          <w:p w14:paraId="07D8927A" w14:textId="77777777" w:rsidR="00DB5F94" w:rsidRDefault="00000000">
            <w:pPr>
              <w:tabs>
                <w:tab w:val="left" w:pos="360"/>
              </w:tabs>
              <w:jc w:val="both"/>
              <w:rPr>
                <w:rFonts w:ascii="Arial" w:hAnsi="Arial" w:cs="Arial"/>
                <w:bCs/>
                <w:sz w:val="18"/>
                <w:szCs w:val="18"/>
              </w:rPr>
            </w:pPr>
            <w:r>
              <w:rPr>
                <w:rFonts w:ascii="Arial" w:hAnsi="Arial" w:cs="Arial"/>
                <w:bCs/>
                <w:sz w:val="18"/>
                <w:szCs w:val="18"/>
              </w:rPr>
              <w:t>Apply plate sealer and incubate for 30 minutes at 18-25°C.</w:t>
            </w:r>
          </w:p>
        </w:tc>
      </w:tr>
    </w:tbl>
    <w:p w14:paraId="09E21084" w14:textId="77777777" w:rsidR="00DB5F94" w:rsidRDefault="00000000">
      <w:pPr>
        <w:tabs>
          <w:tab w:val="left" w:pos="360"/>
        </w:tabs>
        <w:ind w:left="360" w:hanging="360"/>
        <w:jc w:val="both"/>
        <w:rPr>
          <w:rFonts w:ascii="Arial" w:hAnsi="Arial" w:cs="Arial"/>
          <w:bCs/>
          <w:sz w:val="18"/>
          <w:szCs w:val="18"/>
        </w:rPr>
      </w:pPr>
      <w:r>
        <w:rPr>
          <w:rFonts w:ascii="Arial" w:hAnsi="Arial" w:cs="Arial"/>
          <w:bCs/>
          <w:sz w:val="18"/>
          <w:szCs w:val="18"/>
        </w:rPr>
        <w:pict w14:anchorId="1C55EC91">
          <v:shape id="_x0000_s1056" type="#_x0000_t67" style="position:absolute;left:0;text-align:left;margin-left:97pt;margin-top:32.05pt;width:6pt;height:21pt;z-index:6;mso-position-horizontal-relative:text;mso-position-vertical-relative:text;mso-width-relative:page;mso-height-relative:page" fillcolor="black">
            <v:textbox style="layout-flow:vertical-ideographic"/>
          </v:shape>
        </w:pict>
      </w:r>
    </w:p>
    <w:p w14:paraId="40A05C70" w14:textId="77777777" w:rsidR="00DB5F94" w:rsidRDefault="00DB5F94">
      <w:pPr>
        <w:tabs>
          <w:tab w:val="left" w:pos="360"/>
        </w:tabs>
        <w:ind w:left="360" w:hanging="360"/>
        <w:jc w:val="both"/>
        <w:rPr>
          <w:rFonts w:ascii="Arial" w:hAnsi="Arial" w:cs="Arial"/>
          <w:bCs/>
          <w:sz w:val="18"/>
          <w:szCs w:val="18"/>
        </w:rPr>
      </w:pPr>
    </w:p>
    <w:p w14:paraId="63070F46" w14:textId="77777777" w:rsidR="00DB5F94" w:rsidRDefault="00DB5F94">
      <w:pPr>
        <w:tabs>
          <w:tab w:val="left" w:pos="360"/>
        </w:tabs>
        <w:ind w:left="360" w:hanging="360"/>
        <w:jc w:val="both"/>
        <w:rPr>
          <w:rFonts w:ascii="Arial" w:hAnsi="Arial" w:cs="Arial"/>
          <w:bCs/>
          <w:sz w:val="18"/>
          <w:szCs w:val="18"/>
        </w:rPr>
      </w:pPr>
    </w:p>
    <w:p w14:paraId="20E1E16C" w14:textId="77777777" w:rsidR="00DB5F94" w:rsidRDefault="00DB5F94">
      <w:pPr>
        <w:tabs>
          <w:tab w:val="left" w:pos="360"/>
        </w:tabs>
        <w:ind w:left="360" w:hanging="360"/>
        <w:jc w:val="both"/>
        <w:rPr>
          <w:rFonts w:ascii="Arial" w:hAnsi="Arial" w:cs="Arial"/>
          <w:bCs/>
          <w:sz w:val="18"/>
          <w:szCs w:val="18"/>
        </w:rPr>
      </w:pPr>
    </w:p>
    <w:p w14:paraId="4E97E59A" w14:textId="77777777" w:rsidR="00DB5F94" w:rsidRDefault="00DB5F94">
      <w:pPr>
        <w:tabs>
          <w:tab w:val="left" w:pos="360"/>
        </w:tabs>
        <w:ind w:left="360" w:hanging="360"/>
        <w:jc w:val="both"/>
        <w:rPr>
          <w:rFonts w:ascii="Arial" w:hAnsi="Arial" w:cs="Arial"/>
          <w:bCs/>
          <w:sz w:val="18"/>
          <w:szCs w:val="18"/>
        </w:rPr>
      </w:pPr>
    </w:p>
    <w:p w14:paraId="3450290D" w14:textId="77777777" w:rsidR="00DB5F94" w:rsidRDefault="00DB5F94">
      <w:pPr>
        <w:tabs>
          <w:tab w:val="left" w:pos="360"/>
        </w:tabs>
        <w:ind w:left="360" w:hanging="360"/>
        <w:jc w:val="both"/>
        <w:rPr>
          <w:rFonts w:ascii="Arial" w:hAnsi="Arial" w:cs="Arial"/>
          <w:bCs/>
          <w:sz w:val="18"/>
          <w:szCs w:val="18"/>
        </w:rPr>
      </w:pPr>
    </w:p>
    <w:tbl>
      <w:tblPr>
        <w:tblpPr w:leftFromText="180" w:rightFromText="180" w:vertAnchor="text" w:horzAnchor="page" w:tblpX="10791" w:tblpY="-229"/>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tblGrid>
      <w:tr w:rsidR="001646E8" w14:paraId="6E8CE4E5" w14:textId="77777777" w:rsidTr="001646E8">
        <w:tc>
          <w:tcPr>
            <w:tcW w:w="3686" w:type="dxa"/>
            <w:shd w:val="clear" w:color="auto" w:fill="auto"/>
          </w:tcPr>
          <w:p w14:paraId="37FFE1F9" w14:textId="77777777" w:rsidR="001646E8" w:rsidRDefault="001646E8" w:rsidP="001646E8">
            <w:pPr>
              <w:tabs>
                <w:tab w:val="left" w:pos="360"/>
              </w:tabs>
              <w:jc w:val="both"/>
              <w:rPr>
                <w:rFonts w:ascii="Arial" w:hAnsi="Arial" w:cs="Arial"/>
                <w:bCs/>
                <w:sz w:val="18"/>
                <w:szCs w:val="18"/>
              </w:rPr>
            </w:pPr>
            <w:r>
              <w:rPr>
                <w:rFonts w:ascii="Arial" w:hAnsi="Arial" w:cs="Arial"/>
                <w:bCs/>
                <w:sz w:val="18"/>
                <w:szCs w:val="18"/>
              </w:rPr>
              <w:t>Wash Microwells 3 times with 350 µl of diluted wash buffer.</w:t>
            </w:r>
          </w:p>
        </w:tc>
      </w:tr>
    </w:tbl>
    <w:p w14:paraId="0243A4FA" w14:textId="185ADA3E" w:rsidR="00DB5F94" w:rsidRDefault="00000000">
      <w:pPr>
        <w:tabs>
          <w:tab w:val="left" w:pos="360"/>
        </w:tabs>
        <w:ind w:left="360" w:hanging="360"/>
        <w:jc w:val="both"/>
        <w:rPr>
          <w:rFonts w:ascii="Arial" w:hAnsi="Arial" w:cs="Arial"/>
          <w:bCs/>
          <w:sz w:val="18"/>
          <w:szCs w:val="18"/>
        </w:rPr>
      </w:pPr>
      <w:r>
        <w:rPr>
          <w:rFonts w:ascii="Arial" w:hAnsi="Arial" w:cs="Arial"/>
          <w:bCs/>
          <w:noProof/>
          <w:sz w:val="18"/>
          <w:szCs w:val="18"/>
        </w:rPr>
        <w:pict w14:anchorId="27613C70">
          <v:shape id="_x0000_s1080" type="#_x0000_t67" style="position:absolute;left:0;text-align:left;margin-left:-94.4pt;margin-top:10.25pt;width:6pt;height:21pt;z-index:14;mso-position-horizontal-relative:text;mso-position-vertical-relative:text;mso-width-relative:page;mso-height-relative:page" fillcolor="black">
            <v:textbox style="layout-flow:vertical-ideographic"/>
          </v:shape>
        </w:pict>
      </w:r>
    </w:p>
    <w:p w14:paraId="781CC8B5" w14:textId="32D552AA" w:rsidR="00DB5F94" w:rsidRDefault="00DB5F94">
      <w:pPr>
        <w:tabs>
          <w:tab w:val="left" w:pos="360"/>
        </w:tabs>
        <w:ind w:left="360" w:hanging="360"/>
        <w:jc w:val="both"/>
        <w:rPr>
          <w:rFonts w:ascii="Arial" w:hAnsi="Arial" w:cs="Arial"/>
          <w:bCs/>
          <w:sz w:val="18"/>
          <w:szCs w:val="18"/>
        </w:rPr>
      </w:pPr>
    </w:p>
    <w:tbl>
      <w:tblPr>
        <w:tblpPr w:leftFromText="180" w:rightFromText="180" w:vertAnchor="text" w:horzAnchor="page" w:tblpX="10884" w:tblpY="20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tblGrid>
      <w:tr w:rsidR="00DB5F94" w14:paraId="33D3A85A" w14:textId="77777777" w:rsidTr="008A1052">
        <w:tc>
          <w:tcPr>
            <w:tcW w:w="3652" w:type="dxa"/>
            <w:shd w:val="clear" w:color="auto" w:fill="auto"/>
          </w:tcPr>
          <w:p w14:paraId="034CC950" w14:textId="77777777" w:rsidR="00DB5F94" w:rsidRDefault="00000000">
            <w:pPr>
              <w:tabs>
                <w:tab w:val="left" w:pos="360"/>
              </w:tabs>
              <w:jc w:val="both"/>
              <w:rPr>
                <w:rFonts w:ascii="Arial" w:hAnsi="Arial" w:cs="Arial"/>
                <w:bCs/>
                <w:sz w:val="18"/>
                <w:szCs w:val="18"/>
              </w:rPr>
            </w:pPr>
            <w:r>
              <w:rPr>
                <w:rFonts w:ascii="Arial" w:hAnsi="Arial" w:cs="Arial"/>
                <w:bCs/>
                <w:sz w:val="18"/>
                <w:szCs w:val="18"/>
              </w:rPr>
              <w:t>Add 100 µl substrate in each well.</w:t>
            </w:r>
          </w:p>
        </w:tc>
      </w:tr>
    </w:tbl>
    <w:p w14:paraId="59EE5791" w14:textId="77777777" w:rsidR="00DB5F94" w:rsidRDefault="00000000">
      <w:pPr>
        <w:tabs>
          <w:tab w:val="left" w:pos="360"/>
        </w:tabs>
        <w:ind w:left="360" w:hanging="360"/>
        <w:jc w:val="both"/>
        <w:rPr>
          <w:rFonts w:ascii="Arial" w:hAnsi="Arial" w:cs="Arial"/>
          <w:bCs/>
          <w:sz w:val="18"/>
          <w:szCs w:val="18"/>
        </w:rPr>
      </w:pPr>
      <w:r>
        <w:rPr>
          <w:rFonts w:ascii="Arial" w:hAnsi="Arial" w:cs="Arial"/>
          <w:bCs/>
          <w:sz w:val="18"/>
          <w:szCs w:val="18"/>
        </w:rPr>
        <w:pict w14:anchorId="58584C48">
          <v:shape id="_x0000_s1068" type="#_x0000_t67" style="position:absolute;left:0;text-align:left;margin-left:101.9pt;margin-top:24.6pt;width:6pt;height:21pt;z-index:10;mso-position-horizontal-relative:text;mso-position-vertical-relative:text;mso-width-relative:page;mso-height-relative:page" fillcolor="black">
            <v:textbox style="layout-flow:vertical-ideographic"/>
          </v:shape>
        </w:pict>
      </w:r>
    </w:p>
    <w:p w14:paraId="27A24279" w14:textId="77777777" w:rsidR="00DB5F94" w:rsidRDefault="00DB5F94">
      <w:pPr>
        <w:tabs>
          <w:tab w:val="left" w:pos="360"/>
        </w:tabs>
        <w:ind w:left="360" w:hanging="360"/>
        <w:jc w:val="both"/>
        <w:rPr>
          <w:rFonts w:ascii="Arial" w:hAnsi="Arial" w:cs="Arial"/>
          <w:bCs/>
          <w:sz w:val="18"/>
          <w:szCs w:val="18"/>
        </w:rPr>
      </w:pPr>
    </w:p>
    <w:p w14:paraId="55D360FF" w14:textId="7897400C" w:rsidR="008A1052" w:rsidRDefault="00000000">
      <w:pPr>
        <w:tabs>
          <w:tab w:val="left" w:pos="360"/>
        </w:tabs>
        <w:ind w:left="360" w:hanging="360"/>
        <w:jc w:val="both"/>
        <w:rPr>
          <w:rFonts w:ascii="Arial" w:hAnsi="Arial" w:cs="Arial"/>
          <w:bCs/>
          <w:sz w:val="18"/>
          <w:szCs w:val="18"/>
        </w:rPr>
      </w:pPr>
      <w:r>
        <w:rPr>
          <w:rFonts w:ascii="Arial" w:hAnsi="Arial" w:cs="Arial"/>
          <w:bCs/>
          <w:noProof/>
          <w:sz w:val="18"/>
          <w:szCs w:val="18"/>
        </w:rPr>
        <w:pict w14:anchorId="27613C70">
          <v:shape id="_x0000_s1075" type="#_x0000_t67" style="position:absolute;left:0;text-align:left;margin-left:-102.25pt;margin-top:4.85pt;width:6pt;height:21pt;z-index:13;mso-width-relative:page;mso-height-relative:page" fillcolor="black">
            <v:textbox style="layout-flow:vertical-ideographic"/>
          </v:shape>
        </w:pict>
      </w:r>
    </w:p>
    <w:p w14:paraId="4315FED5" w14:textId="019DA8A1" w:rsidR="008A1052" w:rsidRDefault="008A1052">
      <w:pPr>
        <w:tabs>
          <w:tab w:val="left" w:pos="360"/>
        </w:tabs>
        <w:ind w:left="360" w:hanging="360"/>
        <w:jc w:val="both"/>
        <w:rPr>
          <w:rFonts w:ascii="Arial" w:hAnsi="Arial" w:cs="Arial"/>
          <w:bCs/>
          <w:sz w:val="18"/>
          <w:szCs w:val="18"/>
        </w:rPr>
      </w:pPr>
    </w:p>
    <w:tbl>
      <w:tblPr>
        <w:tblpPr w:leftFromText="180" w:rightFromText="180" w:vertAnchor="text" w:horzAnchor="page" w:tblpX="10894" w:tblpY="14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tblGrid>
      <w:tr w:rsidR="00DB5F94" w14:paraId="3452F5DA" w14:textId="77777777" w:rsidTr="00F81837">
        <w:tc>
          <w:tcPr>
            <w:tcW w:w="3652" w:type="dxa"/>
            <w:shd w:val="clear" w:color="auto" w:fill="auto"/>
          </w:tcPr>
          <w:p w14:paraId="16DCEBE9" w14:textId="77777777" w:rsidR="00DB5F94" w:rsidRDefault="00000000">
            <w:pPr>
              <w:tabs>
                <w:tab w:val="left" w:pos="360"/>
              </w:tabs>
              <w:jc w:val="both"/>
              <w:rPr>
                <w:rFonts w:ascii="Arial" w:hAnsi="Arial" w:cs="Arial"/>
                <w:bCs/>
                <w:sz w:val="18"/>
                <w:szCs w:val="18"/>
              </w:rPr>
            </w:pPr>
            <w:r>
              <w:rPr>
                <w:rFonts w:ascii="Arial" w:hAnsi="Arial" w:cs="Arial"/>
                <w:bCs/>
                <w:sz w:val="18"/>
                <w:szCs w:val="18"/>
                <w:lang w:val="en-GB"/>
              </w:rPr>
              <w:t>I</w:t>
            </w:r>
            <w:proofErr w:type="spellStart"/>
            <w:r>
              <w:rPr>
                <w:rFonts w:ascii="Arial" w:hAnsi="Arial" w:cs="Arial"/>
                <w:bCs/>
                <w:sz w:val="18"/>
                <w:szCs w:val="18"/>
              </w:rPr>
              <w:t>ncubate</w:t>
            </w:r>
            <w:proofErr w:type="spellEnd"/>
            <w:r>
              <w:rPr>
                <w:rFonts w:ascii="Arial" w:hAnsi="Arial" w:cs="Arial"/>
                <w:bCs/>
                <w:sz w:val="18"/>
                <w:szCs w:val="18"/>
              </w:rPr>
              <w:t xml:space="preserve"> for </w:t>
            </w:r>
            <w:r>
              <w:rPr>
                <w:rFonts w:ascii="Arial" w:hAnsi="Arial" w:cs="Arial"/>
                <w:bCs/>
                <w:sz w:val="18"/>
                <w:szCs w:val="18"/>
                <w:lang w:val="en-GB"/>
              </w:rPr>
              <w:t>15</w:t>
            </w:r>
            <w:r>
              <w:rPr>
                <w:rFonts w:ascii="Arial" w:hAnsi="Arial" w:cs="Arial"/>
                <w:bCs/>
                <w:sz w:val="18"/>
                <w:szCs w:val="18"/>
              </w:rPr>
              <w:t xml:space="preserve"> minutes at 18-25°C.</w:t>
            </w:r>
          </w:p>
        </w:tc>
      </w:tr>
    </w:tbl>
    <w:p w14:paraId="1AAFCA6B" w14:textId="3C239D6D" w:rsidR="008A1052" w:rsidRDefault="00000000">
      <w:pPr>
        <w:tabs>
          <w:tab w:val="left" w:pos="360"/>
        </w:tabs>
        <w:ind w:left="360" w:hanging="360"/>
        <w:jc w:val="both"/>
        <w:rPr>
          <w:rFonts w:ascii="Arial" w:hAnsi="Arial" w:cs="Arial"/>
          <w:bCs/>
          <w:sz w:val="18"/>
          <w:szCs w:val="18"/>
        </w:rPr>
      </w:pPr>
      <w:r>
        <w:rPr>
          <w:rFonts w:ascii="Arial" w:hAnsi="Arial" w:cs="Arial"/>
          <w:bCs/>
          <w:sz w:val="18"/>
          <w:szCs w:val="18"/>
        </w:rPr>
        <w:pict w14:anchorId="4E735DD1">
          <v:shape id="_x0000_s1069" type="#_x0000_t67" style="position:absolute;left:0;text-align:left;margin-left:100.6pt;margin-top:21.05pt;width:6pt;height:21pt;z-index:11;mso-position-horizontal-relative:text;mso-position-vertical-relative:text;mso-width-relative:page;mso-height-relative:page" fillcolor="black">
            <v:textbox style="layout-flow:vertical-ideographic"/>
          </v:shape>
        </w:pict>
      </w:r>
    </w:p>
    <w:p w14:paraId="2A07749A" w14:textId="77777777" w:rsidR="008A1052" w:rsidRDefault="008A1052">
      <w:pPr>
        <w:tabs>
          <w:tab w:val="left" w:pos="360"/>
        </w:tabs>
        <w:ind w:left="360" w:hanging="360"/>
        <w:jc w:val="both"/>
        <w:rPr>
          <w:rFonts w:ascii="Arial" w:hAnsi="Arial" w:cs="Arial"/>
          <w:bCs/>
          <w:sz w:val="18"/>
          <w:szCs w:val="18"/>
        </w:rPr>
      </w:pPr>
    </w:p>
    <w:p w14:paraId="17D688B8" w14:textId="7B7840E7" w:rsidR="00F81837" w:rsidRDefault="00000000">
      <w:pPr>
        <w:tabs>
          <w:tab w:val="left" w:pos="360"/>
        </w:tabs>
        <w:ind w:left="360" w:hanging="360"/>
        <w:jc w:val="both"/>
        <w:rPr>
          <w:rFonts w:ascii="Arial" w:hAnsi="Arial" w:cs="Arial"/>
          <w:bCs/>
          <w:sz w:val="18"/>
          <w:szCs w:val="18"/>
        </w:rPr>
      </w:pPr>
      <w:r>
        <w:rPr>
          <w:rFonts w:ascii="Arial" w:hAnsi="Arial" w:cs="Arial"/>
          <w:bCs/>
          <w:sz w:val="18"/>
          <w:szCs w:val="18"/>
        </w:rPr>
        <w:pict w14:anchorId="27613C70">
          <v:shape id="_x0000_s1058" type="#_x0000_t67" style="position:absolute;left:0;text-align:left;margin-left:100pt;margin-top:1.8pt;width:6pt;height:21pt;z-index:7;mso-width-relative:page;mso-height-relative:page" fillcolor="black">
            <v:textbox style="layout-flow:vertical-ideographic"/>
          </v:shape>
        </w:pict>
      </w:r>
    </w:p>
    <w:p w14:paraId="070B198A" w14:textId="77777777" w:rsidR="00F81837" w:rsidRDefault="00F81837">
      <w:pPr>
        <w:tabs>
          <w:tab w:val="left" w:pos="360"/>
        </w:tabs>
        <w:ind w:left="360" w:hanging="360"/>
        <w:jc w:val="both"/>
        <w:rPr>
          <w:rFonts w:ascii="Arial" w:hAnsi="Arial" w:cs="Arial"/>
          <w:bCs/>
          <w:sz w:val="18"/>
          <w:szCs w:val="18"/>
        </w:rPr>
      </w:pPr>
    </w:p>
    <w:tbl>
      <w:tblPr>
        <w:tblpPr w:leftFromText="180" w:rightFromText="180" w:vertAnchor="text" w:horzAnchor="page" w:tblpX="10848" w:tblpY="7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tblGrid>
      <w:tr w:rsidR="00DB5F94" w14:paraId="545AD337" w14:textId="77777777">
        <w:tc>
          <w:tcPr>
            <w:tcW w:w="3696" w:type="dxa"/>
            <w:shd w:val="clear" w:color="auto" w:fill="auto"/>
          </w:tcPr>
          <w:p w14:paraId="062F018B" w14:textId="77777777" w:rsidR="00DB5F94" w:rsidRDefault="00000000">
            <w:pPr>
              <w:tabs>
                <w:tab w:val="left" w:pos="360"/>
              </w:tabs>
              <w:jc w:val="both"/>
              <w:rPr>
                <w:rFonts w:ascii="Arial" w:hAnsi="Arial" w:cs="Arial"/>
                <w:bCs/>
                <w:sz w:val="18"/>
                <w:szCs w:val="18"/>
              </w:rPr>
            </w:pPr>
            <w:r>
              <w:rPr>
                <w:rFonts w:ascii="Arial" w:hAnsi="Arial" w:cs="Arial"/>
                <w:bCs/>
                <w:sz w:val="18"/>
                <w:szCs w:val="18"/>
              </w:rPr>
              <w:t>Add 100 µl stop solution in each well.</w:t>
            </w:r>
          </w:p>
        </w:tc>
      </w:tr>
    </w:tbl>
    <w:p w14:paraId="3B65B4C8" w14:textId="77777777" w:rsidR="00DB5F94" w:rsidRDefault="00DB5F94">
      <w:pPr>
        <w:tabs>
          <w:tab w:val="left" w:pos="360"/>
        </w:tabs>
        <w:ind w:left="360" w:hanging="360"/>
        <w:jc w:val="both"/>
        <w:rPr>
          <w:rFonts w:ascii="Arial" w:hAnsi="Arial" w:cs="Arial"/>
          <w:bCs/>
          <w:sz w:val="18"/>
          <w:szCs w:val="18"/>
        </w:rPr>
      </w:pPr>
    </w:p>
    <w:p w14:paraId="47D5214A" w14:textId="77777777" w:rsidR="00DB5F94" w:rsidRDefault="00000000">
      <w:pPr>
        <w:tabs>
          <w:tab w:val="left" w:pos="360"/>
        </w:tabs>
        <w:ind w:left="360" w:hanging="360"/>
        <w:jc w:val="both"/>
        <w:rPr>
          <w:rFonts w:ascii="Arial" w:hAnsi="Arial" w:cs="Arial"/>
          <w:bCs/>
          <w:sz w:val="18"/>
          <w:szCs w:val="18"/>
        </w:rPr>
      </w:pPr>
      <w:r>
        <w:rPr>
          <w:rFonts w:ascii="Arial" w:hAnsi="Arial" w:cs="Arial"/>
          <w:bCs/>
          <w:sz w:val="18"/>
          <w:szCs w:val="18"/>
        </w:rPr>
        <w:pict w14:anchorId="3AE2F7D6">
          <v:shape id="_x0000_s1070" type="#_x0000_t67" style="position:absolute;left:0;text-align:left;margin-left:-103pt;margin-top:6.8pt;width:6pt;height:21pt;z-index:12;mso-width-relative:page;mso-height-relative:page" fillcolor="black">
            <v:textbox style="layout-flow:vertical-ideographic"/>
          </v:shape>
        </w:pict>
      </w:r>
    </w:p>
    <w:p w14:paraId="566AFC68" w14:textId="77777777" w:rsidR="00DB5F94" w:rsidRDefault="00DB5F94">
      <w:pPr>
        <w:tabs>
          <w:tab w:val="left" w:pos="360"/>
        </w:tabs>
        <w:ind w:left="360" w:hanging="360"/>
        <w:jc w:val="both"/>
        <w:rPr>
          <w:rFonts w:ascii="Arial" w:hAnsi="Arial" w:cs="Arial"/>
          <w:bCs/>
          <w:sz w:val="18"/>
          <w:szCs w:val="18"/>
        </w:rPr>
      </w:pPr>
    </w:p>
    <w:tbl>
      <w:tblPr>
        <w:tblpPr w:leftFromText="180" w:rightFromText="180" w:vertAnchor="text" w:horzAnchor="page" w:tblpX="10871" w:tblpY="17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6"/>
      </w:tblGrid>
      <w:tr w:rsidR="00DB5F94" w14:paraId="093ADAB4" w14:textId="77777777">
        <w:tc>
          <w:tcPr>
            <w:tcW w:w="3696" w:type="dxa"/>
            <w:shd w:val="clear" w:color="auto" w:fill="auto"/>
          </w:tcPr>
          <w:p w14:paraId="61620A87" w14:textId="77777777" w:rsidR="00DB5F94" w:rsidRDefault="00000000">
            <w:pPr>
              <w:tabs>
                <w:tab w:val="left" w:pos="360"/>
              </w:tabs>
              <w:jc w:val="both"/>
              <w:rPr>
                <w:rFonts w:ascii="Arial" w:hAnsi="Arial" w:cs="Arial"/>
                <w:bCs/>
                <w:sz w:val="18"/>
                <w:szCs w:val="18"/>
              </w:rPr>
            </w:pPr>
            <w:r>
              <w:rPr>
                <w:rFonts w:ascii="Arial" w:hAnsi="Arial" w:cs="Arial"/>
                <w:bCs/>
                <w:sz w:val="18"/>
                <w:szCs w:val="18"/>
              </w:rPr>
              <w:t>Read results @450nm (Ref.600-700nm) within 15 Minutes</w:t>
            </w:r>
          </w:p>
        </w:tc>
      </w:tr>
    </w:tbl>
    <w:p w14:paraId="31E4CFF5" w14:textId="77777777" w:rsidR="00DB5F94" w:rsidRDefault="00DB5F94">
      <w:pPr>
        <w:tabs>
          <w:tab w:val="left" w:pos="360"/>
        </w:tabs>
        <w:ind w:left="360" w:hanging="360"/>
        <w:jc w:val="both"/>
        <w:rPr>
          <w:rFonts w:ascii="Arial" w:hAnsi="Arial" w:cs="Arial"/>
          <w:bCs/>
          <w:sz w:val="18"/>
          <w:szCs w:val="18"/>
        </w:rPr>
      </w:pPr>
    </w:p>
    <w:p w14:paraId="320AB60F" w14:textId="77777777" w:rsidR="00DB5F94" w:rsidRDefault="00DB5F94">
      <w:pPr>
        <w:tabs>
          <w:tab w:val="left" w:pos="360"/>
        </w:tabs>
        <w:ind w:left="360" w:hanging="360"/>
        <w:jc w:val="both"/>
        <w:rPr>
          <w:rFonts w:ascii="Arial" w:hAnsi="Arial" w:cs="Arial"/>
          <w:bCs/>
          <w:sz w:val="18"/>
          <w:szCs w:val="18"/>
        </w:rPr>
      </w:pPr>
    </w:p>
    <w:p w14:paraId="5FF71EEF" w14:textId="77777777" w:rsidR="00DB5F94" w:rsidRDefault="00DB5F94">
      <w:pPr>
        <w:tabs>
          <w:tab w:val="left" w:pos="360"/>
        </w:tabs>
        <w:ind w:left="360" w:hanging="360"/>
        <w:jc w:val="both"/>
        <w:rPr>
          <w:rFonts w:ascii="Arial" w:hAnsi="Arial" w:cs="Arial"/>
          <w:bCs/>
          <w:sz w:val="18"/>
          <w:szCs w:val="18"/>
        </w:rPr>
      </w:pPr>
    </w:p>
    <w:p w14:paraId="266AAD96" w14:textId="77777777" w:rsidR="00DB5F94" w:rsidRDefault="00DB5F94">
      <w:pPr>
        <w:tabs>
          <w:tab w:val="left" w:pos="360"/>
        </w:tabs>
        <w:jc w:val="both"/>
        <w:rPr>
          <w:rFonts w:ascii="Arial" w:hAnsi="Arial" w:cs="Arial"/>
          <w:bCs/>
          <w:sz w:val="18"/>
          <w:szCs w:val="18"/>
        </w:rPr>
      </w:pPr>
    </w:p>
    <w:p w14:paraId="65922982" w14:textId="77777777" w:rsidR="00DB5F94" w:rsidRDefault="00DB5F94">
      <w:pPr>
        <w:tabs>
          <w:tab w:val="left" w:pos="360"/>
        </w:tabs>
        <w:ind w:left="360" w:hanging="360"/>
        <w:jc w:val="both"/>
        <w:rPr>
          <w:rFonts w:ascii="Arial" w:hAnsi="Arial" w:cs="Arial"/>
          <w:bCs/>
          <w:sz w:val="18"/>
          <w:szCs w:val="18"/>
        </w:rPr>
      </w:pPr>
    </w:p>
    <w:p w14:paraId="334F4E26" w14:textId="77777777" w:rsidR="00DB5F94" w:rsidRDefault="00000000">
      <w:pPr>
        <w:tabs>
          <w:tab w:val="left" w:pos="360"/>
        </w:tabs>
        <w:jc w:val="both"/>
        <w:rPr>
          <w:rFonts w:ascii="Arial" w:hAnsi="Arial" w:cs="Arial"/>
          <w:bCs/>
          <w:sz w:val="18"/>
          <w:szCs w:val="18"/>
        </w:rPr>
      </w:pPr>
      <w:r>
        <w:rPr>
          <w:rFonts w:ascii="Arial" w:hAnsi="Arial" w:cs="Arial"/>
          <w:bCs/>
          <w:sz w:val="18"/>
          <w:szCs w:val="18"/>
        </w:rPr>
        <w:t>CALCULATION OF RESULTS</w:t>
      </w:r>
    </w:p>
    <w:p w14:paraId="0475CD31" w14:textId="77777777" w:rsidR="00DB5F94" w:rsidRDefault="00000000">
      <w:pPr>
        <w:tabs>
          <w:tab w:val="left" w:pos="360"/>
        </w:tabs>
        <w:jc w:val="both"/>
        <w:rPr>
          <w:rFonts w:ascii="Arial" w:hAnsi="Arial" w:cs="Arial"/>
          <w:bCs/>
          <w:sz w:val="18"/>
          <w:szCs w:val="18"/>
        </w:rPr>
      </w:pPr>
      <w:r>
        <w:rPr>
          <w:rFonts w:ascii="Arial" w:hAnsi="Arial" w:cs="Arial"/>
          <w:bCs/>
          <w:sz w:val="18"/>
          <w:szCs w:val="18"/>
        </w:rPr>
        <w:t>Construct a Standard curve by plotting the absorbance obtained from each reference standard against its concentrations in U/ml on the graph paper, with absorbance values on the vertical or Y axis and concentrations on the horizontal or X axis. Use the absorbance values for each specimen to determine the corresponding concentration of Anti-CCP in U/ml from the Standard curve. Any diluted specimens must be corrected by the appropriate dilution factor.</w:t>
      </w:r>
    </w:p>
    <w:p w14:paraId="364D8BEC" w14:textId="77777777" w:rsidR="00DB5F94" w:rsidRDefault="00DB5F94">
      <w:pPr>
        <w:tabs>
          <w:tab w:val="left" w:pos="360"/>
        </w:tabs>
        <w:jc w:val="both"/>
        <w:rPr>
          <w:rFonts w:ascii="Arial" w:hAnsi="Arial" w:cs="Arial"/>
          <w:bCs/>
          <w:sz w:val="18"/>
          <w:szCs w:val="18"/>
        </w:rPr>
      </w:pPr>
    </w:p>
    <w:p w14:paraId="57FD9C46" w14:textId="77777777" w:rsidR="00DB5F94" w:rsidRDefault="00000000">
      <w:pPr>
        <w:tabs>
          <w:tab w:val="left" w:pos="360"/>
        </w:tabs>
        <w:jc w:val="both"/>
        <w:rPr>
          <w:rFonts w:ascii="Arial" w:hAnsi="Arial" w:cs="Arial"/>
          <w:bCs/>
          <w:sz w:val="18"/>
          <w:szCs w:val="18"/>
        </w:rPr>
      </w:pPr>
      <w:r>
        <w:rPr>
          <w:rFonts w:ascii="Arial" w:hAnsi="Arial" w:cs="Arial"/>
          <w:bCs/>
          <w:sz w:val="18"/>
          <w:szCs w:val="18"/>
        </w:rPr>
        <w:t>Example of Standard curve</w:t>
      </w:r>
    </w:p>
    <w:p w14:paraId="37610478" w14:textId="77777777" w:rsidR="00DB5F94" w:rsidRDefault="00000000">
      <w:pPr>
        <w:tabs>
          <w:tab w:val="left" w:pos="360"/>
        </w:tabs>
        <w:jc w:val="both"/>
        <w:rPr>
          <w:rFonts w:ascii="Arial" w:hAnsi="Arial" w:cs="Arial"/>
          <w:bCs/>
          <w:sz w:val="18"/>
          <w:szCs w:val="18"/>
        </w:rPr>
      </w:pPr>
      <w:r>
        <w:rPr>
          <w:rFonts w:ascii="Arial" w:hAnsi="Arial" w:cs="Arial"/>
          <w:bCs/>
          <w:sz w:val="18"/>
          <w:szCs w:val="18"/>
        </w:rPr>
        <w:t>Results of a typical standard run with optical density reading at 450nm (ref 600-700nm) shown in the Y axis against Anti-CCP concentrations shown in the X axis.</w:t>
      </w:r>
    </w:p>
    <w:p w14:paraId="1FF53DAC" w14:textId="77777777" w:rsidR="00DB5F94" w:rsidRDefault="00DB5F94">
      <w:pPr>
        <w:tabs>
          <w:tab w:val="left" w:pos="360"/>
        </w:tabs>
        <w:jc w:val="both"/>
        <w:rPr>
          <w:rFonts w:ascii="Arial" w:hAnsi="Arial" w:cs="Arial"/>
          <w:bCs/>
          <w:sz w:val="18"/>
          <w:szCs w:val="18"/>
        </w:rPr>
      </w:pPr>
    </w:p>
    <w:p w14:paraId="1E4BAD4D" w14:textId="77777777" w:rsidR="00DB5F94" w:rsidRDefault="00000000">
      <w:pPr>
        <w:tabs>
          <w:tab w:val="left" w:pos="360"/>
        </w:tabs>
        <w:jc w:val="both"/>
        <w:rPr>
          <w:rFonts w:ascii="Arial" w:hAnsi="Arial" w:cs="Arial"/>
          <w:bCs/>
          <w:sz w:val="18"/>
          <w:szCs w:val="18"/>
        </w:rPr>
      </w:pPr>
      <w:r>
        <w:rPr>
          <w:rFonts w:ascii="Arial" w:hAnsi="Arial" w:cs="Arial"/>
          <w:bCs/>
          <w:sz w:val="18"/>
          <w:szCs w:val="18"/>
        </w:rPr>
        <w:t>Suggest: Use 4-Parameter Standard curve to calculate sample values.</w:t>
      </w:r>
    </w:p>
    <w:p w14:paraId="58443731" w14:textId="77777777" w:rsidR="00DB5F94" w:rsidRDefault="00DB5F94">
      <w:pPr>
        <w:tabs>
          <w:tab w:val="left" w:pos="360"/>
        </w:tabs>
        <w:jc w:val="both"/>
        <w:rPr>
          <w:rFonts w:ascii="Arial" w:hAnsi="Arial" w:cs="Arial"/>
          <w:bCs/>
          <w:sz w:val="18"/>
          <w:szCs w:val="18"/>
        </w:rPr>
      </w:pPr>
    </w:p>
    <w:tbl>
      <w:tblPr>
        <w:tblW w:w="4141" w:type="dxa"/>
        <w:tblLayout w:type="fixed"/>
        <w:tblCellMar>
          <w:left w:w="30" w:type="dxa"/>
          <w:right w:w="30" w:type="dxa"/>
        </w:tblCellMar>
        <w:tblLook w:val="04A0" w:firstRow="1" w:lastRow="0" w:firstColumn="1" w:lastColumn="0" w:noHBand="0" w:noVBand="1"/>
      </w:tblPr>
      <w:tblGrid>
        <w:gridCol w:w="2010"/>
        <w:gridCol w:w="2131"/>
      </w:tblGrid>
      <w:tr w:rsidR="00DB5F94" w14:paraId="47196C74" w14:textId="77777777">
        <w:trPr>
          <w:cantSplit/>
          <w:trHeight w:val="259"/>
        </w:trPr>
        <w:tc>
          <w:tcPr>
            <w:tcW w:w="2010" w:type="dxa"/>
            <w:tcBorders>
              <w:top w:val="single" w:sz="12" w:space="0" w:color="auto"/>
              <w:left w:val="single" w:sz="12" w:space="0" w:color="auto"/>
              <w:bottom w:val="single" w:sz="12" w:space="0" w:color="auto"/>
              <w:right w:val="single" w:sz="6" w:space="0" w:color="auto"/>
            </w:tcBorders>
          </w:tcPr>
          <w:p w14:paraId="4C0632EF" w14:textId="77777777" w:rsidR="00DB5F94" w:rsidRDefault="00000000">
            <w:pPr>
              <w:jc w:val="center"/>
              <w:rPr>
                <w:rFonts w:ascii="Arial" w:hAnsi="Arial" w:cs="Arial"/>
                <w:color w:val="000000"/>
                <w:sz w:val="18"/>
                <w:szCs w:val="18"/>
              </w:rPr>
            </w:pPr>
            <w:r>
              <w:rPr>
                <w:rFonts w:ascii="Arial" w:hAnsi="Arial" w:cs="Arial"/>
              </w:rPr>
              <w:t>Anti-CCP Values (U/ml)</w:t>
            </w:r>
          </w:p>
        </w:tc>
        <w:tc>
          <w:tcPr>
            <w:tcW w:w="2131" w:type="dxa"/>
            <w:tcBorders>
              <w:top w:val="single" w:sz="12" w:space="0" w:color="auto"/>
              <w:left w:val="single" w:sz="6" w:space="0" w:color="auto"/>
              <w:bottom w:val="single" w:sz="12" w:space="0" w:color="auto"/>
              <w:right w:val="single" w:sz="12" w:space="0" w:color="auto"/>
            </w:tcBorders>
          </w:tcPr>
          <w:p w14:paraId="24DCD663" w14:textId="77777777" w:rsidR="00DB5F94" w:rsidRDefault="00000000">
            <w:pPr>
              <w:jc w:val="center"/>
              <w:rPr>
                <w:rFonts w:ascii="Arial" w:hAnsi="Arial" w:cs="Arial"/>
                <w:color w:val="000000"/>
                <w:sz w:val="18"/>
                <w:szCs w:val="18"/>
              </w:rPr>
            </w:pPr>
            <w:r>
              <w:rPr>
                <w:rFonts w:ascii="Arial" w:hAnsi="Arial" w:cs="Arial"/>
              </w:rPr>
              <w:t>Absorbance (450nm)</w:t>
            </w:r>
          </w:p>
        </w:tc>
      </w:tr>
      <w:tr w:rsidR="00DB5F94" w14:paraId="04E1ACFA" w14:textId="77777777">
        <w:trPr>
          <w:cantSplit/>
          <w:trHeight w:val="259"/>
        </w:trPr>
        <w:tc>
          <w:tcPr>
            <w:tcW w:w="2010" w:type="dxa"/>
            <w:tcBorders>
              <w:left w:val="single" w:sz="12" w:space="0" w:color="auto"/>
              <w:bottom w:val="single" w:sz="6" w:space="0" w:color="auto"/>
              <w:right w:val="single" w:sz="6" w:space="0" w:color="auto"/>
            </w:tcBorders>
          </w:tcPr>
          <w:p w14:paraId="35628BD6" w14:textId="77777777" w:rsidR="00DB5F94" w:rsidRDefault="00000000">
            <w:pPr>
              <w:jc w:val="center"/>
              <w:rPr>
                <w:rFonts w:ascii="Arial" w:hAnsi="Arial" w:cs="Arial"/>
                <w:color w:val="000000"/>
                <w:sz w:val="18"/>
                <w:szCs w:val="18"/>
              </w:rPr>
            </w:pPr>
            <w:r>
              <w:rPr>
                <w:rFonts w:ascii="Arial" w:hAnsi="Arial" w:cs="Arial"/>
              </w:rPr>
              <w:t>A</w:t>
            </w:r>
          </w:p>
        </w:tc>
        <w:tc>
          <w:tcPr>
            <w:tcW w:w="2131" w:type="dxa"/>
            <w:tcBorders>
              <w:left w:val="single" w:sz="6" w:space="0" w:color="auto"/>
              <w:bottom w:val="single" w:sz="6" w:space="0" w:color="auto"/>
              <w:right w:val="single" w:sz="12" w:space="0" w:color="auto"/>
            </w:tcBorders>
          </w:tcPr>
          <w:p w14:paraId="209B6796" w14:textId="77777777" w:rsidR="00DB5F94" w:rsidRDefault="00000000">
            <w:pPr>
              <w:jc w:val="center"/>
              <w:rPr>
                <w:rFonts w:ascii="Arial" w:hAnsi="Arial" w:cs="Arial"/>
                <w:color w:val="000000"/>
                <w:sz w:val="18"/>
                <w:szCs w:val="18"/>
              </w:rPr>
            </w:pPr>
            <w:r>
              <w:rPr>
                <w:rFonts w:ascii="Arial" w:hAnsi="Arial" w:cs="Arial"/>
              </w:rPr>
              <w:t>0.026</w:t>
            </w:r>
          </w:p>
        </w:tc>
      </w:tr>
      <w:tr w:rsidR="00DB5F94" w14:paraId="53169E95" w14:textId="77777777">
        <w:trPr>
          <w:cantSplit/>
          <w:trHeight w:val="259"/>
        </w:trPr>
        <w:tc>
          <w:tcPr>
            <w:tcW w:w="2010" w:type="dxa"/>
            <w:tcBorders>
              <w:top w:val="single" w:sz="6" w:space="0" w:color="auto"/>
              <w:left w:val="single" w:sz="12" w:space="0" w:color="auto"/>
              <w:bottom w:val="single" w:sz="6" w:space="0" w:color="auto"/>
              <w:right w:val="single" w:sz="6" w:space="0" w:color="auto"/>
            </w:tcBorders>
          </w:tcPr>
          <w:p w14:paraId="60B5B13C" w14:textId="77777777" w:rsidR="00DB5F94" w:rsidRDefault="00000000">
            <w:pPr>
              <w:jc w:val="center"/>
              <w:rPr>
                <w:rFonts w:ascii="Arial" w:hAnsi="Arial" w:cs="Arial"/>
                <w:color w:val="000000"/>
                <w:sz w:val="18"/>
                <w:szCs w:val="18"/>
              </w:rPr>
            </w:pPr>
            <w:r>
              <w:rPr>
                <w:rFonts w:ascii="Arial" w:hAnsi="Arial" w:cs="Arial"/>
              </w:rPr>
              <w:t>B</w:t>
            </w:r>
          </w:p>
        </w:tc>
        <w:tc>
          <w:tcPr>
            <w:tcW w:w="2131" w:type="dxa"/>
            <w:tcBorders>
              <w:top w:val="single" w:sz="6" w:space="0" w:color="auto"/>
              <w:left w:val="single" w:sz="6" w:space="0" w:color="auto"/>
              <w:bottom w:val="single" w:sz="6" w:space="0" w:color="auto"/>
              <w:right w:val="single" w:sz="12" w:space="0" w:color="auto"/>
            </w:tcBorders>
          </w:tcPr>
          <w:p w14:paraId="355D3067" w14:textId="77777777" w:rsidR="00DB5F94" w:rsidRDefault="00000000">
            <w:pPr>
              <w:jc w:val="center"/>
              <w:rPr>
                <w:rFonts w:ascii="Arial" w:hAnsi="Arial" w:cs="Arial"/>
                <w:color w:val="000000"/>
                <w:sz w:val="18"/>
                <w:szCs w:val="18"/>
              </w:rPr>
            </w:pPr>
            <w:r>
              <w:rPr>
                <w:rFonts w:ascii="Arial" w:hAnsi="Arial" w:cs="Arial"/>
              </w:rPr>
              <w:t>0.125</w:t>
            </w:r>
          </w:p>
        </w:tc>
      </w:tr>
      <w:tr w:rsidR="00DB5F94" w14:paraId="69A0E1B4" w14:textId="77777777">
        <w:trPr>
          <w:cantSplit/>
          <w:trHeight w:val="259"/>
        </w:trPr>
        <w:tc>
          <w:tcPr>
            <w:tcW w:w="2010" w:type="dxa"/>
            <w:tcBorders>
              <w:top w:val="single" w:sz="6" w:space="0" w:color="auto"/>
              <w:left w:val="single" w:sz="12" w:space="0" w:color="auto"/>
              <w:bottom w:val="single" w:sz="6" w:space="0" w:color="auto"/>
              <w:right w:val="single" w:sz="6" w:space="0" w:color="auto"/>
            </w:tcBorders>
          </w:tcPr>
          <w:p w14:paraId="25CE98B1" w14:textId="77777777" w:rsidR="00DB5F94" w:rsidRDefault="00000000">
            <w:pPr>
              <w:jc w:val="center"/>
              <w:rPr>
                <w:rFonts w:ascii="Arial" w:hAnsi="Arial" w:cs="Arial"/>
                <w:color w:val="000000"/>
                <w:sz w:val="18"/>
                <w:szCs w:val="18"/>
              </w:rPr>
            </w:pPr>
            <w:r>
              <w:rPr>
                <w:rFonts w:ascii="Arial" w:hAnsi="Arial" w:cs="Arial"/>
              </w:rPr>
              <w:t>C</w:t>
            </w:r>
          </w:p>
        </w:tc>
        <w:tc>
          <w:tcPr>
            <w:tcW w:w="2131" w:type="dxa"/>
            <w:tcBorders>
              <w:top w:val="single" w:sz="6" w:space="0" w:color="auto"/>
              <w:left w:val="single" w:sz="6" w:space="0" w:color="auto"/>
              <w:bottom w:val="single" w:sz="6" w:space="0" w:color="auto"/>
              <w:right w:val="single" w:sz="12" w:space="0" w:color="auto"/>
            </w:tcBorders>
          </w:tcPr>
          <w:p w14:paraId="01C47A9F" w14:textId="77777777" w:rsidR="00DB5F94" w:rsidRDefault="00000000">
            <w:pPr>
              <w:jc w:val="center"/>
              <w:rPr>
                <w:rFonts w:ascii="Arial" w:hAnsi="Arial" w:cs="Arial"/>
                <w:color w:val="000000"/>
                <w:sz w:val="18"/>
                <w:szCs w:val="18"/>
              </w:rPr>
            </w:pPr>
            <w:r>
              <w:rPr>
                <w:rFonts w:ascii="Arial" w:hAnsi="Arial" w:cs="Arial"/>
              </w:rPr>
              <w:t>0.434</w:t>
            </w:r>
          </w:p>
        </w:tc>
      </w:tr>
      <w:tr w:rsidR="00DB5F94" w14:paraId="71720100" w14:textId="77777777">
        <w:trPr>
          <w:cantSplit/>
          <w:trHeight w:val="259"/>
        </w:trPr>
        <w:tc>
          <w:tcPr>
            <w:tcW w:w="2010" w:type="dxa"/>
            <w:tcBorders>
              <w:top w:val="single" w:sz="6" w:space="0" w:color="auto"/>
              <w:left w:val="single" w:sz="12" w:space="0" w:color="auto"/>
              <w:bottom w:val="single" w:sz="6" w:space="0" w:color="auto"/>
              <w:right w:val="single" w:sz="6" w:space="0" w:color="auto"/>
            </w:tcBorders>
          </w:tcPr>
          <w:p w14:paraId="5BFF9C38" w14:textId="77777777" w:rsidR="00DB5F94" w:rsidRDefault="00000000">
            <w:pPr>
              <w:jc w:val="center"/>
              <w:rPr>
                <w:rFonts w:ascii="Arial" w:hAnsi="Arial" w:cs="Arial"/>
                <w:color w:val="000000"/>
                <w:sz w:val="18"/>
                <w:szCs w:val="18"/>
              </w:rPr>
            </w:pPr>
            <w:r>
              <w:rPr>
                <w:rFonts w:ascii="Arial" w:hAnsi="Arial" w:cs="Arial"/>
              </w:rPr>
              <w:t>D</w:t>
            </w:r>
          </w:p>
        </w:tc>
        <w:tc>
          <w:tcPr>
            <w:tcW w:w="2131" w:type="dxa"/>
            <w:tcBorders>
              <w:top w:val="single" w:sz="6" w:space="0" w:color="auto"/>
              <w:left w:val="single" w:sz="6" w:space="0" w:color="auto"/>
              <w:bottom w:val="single" w:sz="6" w:space="0" w:color="auto"/>
              <w:right w:val="single" w:sz="12" w:space="0" w:color="auto"/>
            </w:tcBorders>
          </w:tcPr>
          <w:p w14:paraId="7818FB6A" w14:textId="77777777" w:rsidR="00DB5F94" w:rsidRDefault="00000000">
            <w:pPr>
              <w:jc w:val="center"/>
              <w:rPr>
                <w:rFonts w:ascii="Arial" w:hAnsi="Arial" w:cs="Arial"/>
                <w:color w:val="000000"/>
                <w:sz w:val="18"/>
                <w:szCs w:val="18"/>
              </w:rPr>
            </w:pPr>
            <w:r>
              <w:rPr>
                <w:rFonts w:ascii="Arial" w:hAnsi="Arial" w:cs="Arial"/>
              </w:rPr>
              <w:t>1.025</w:t>
            </w:r>
          </w:p>
        </w:tc>
      </w:tr>
      <w:tr w:rsidR="00DB5F94" w14:paraId="6CC8C6CE" w14:textId="77777777">
        <w:trPr>
          <w:cantSplit/>
          <w:trHeight w:val="259"/>
        </w:trPr>
        <w:tc>
          <w:tcPr>
            <w:tcW w:w="2010" w:type="dxa"/>
            <w:tcBorders>
              <w:top w:val="single" w:sz="6" w:space="0" w:color="auto"/>
              <w:left w:val="single" w:sz="12" w:space="0" w:color="auto"/>
              <w:bottom w:val="single" w:sz="6" w:space="0" w:color="auto"/>
              <w:right w:val="single" w:sz="6" w:space="0" w:color="auto"/>
            </w:tcBorders>
          </w:tcPr>
          <w:p w14:paraId="3D9D41A1" w14:textId="77777777" w:rsidR="00DB5F94" w:rsidRDefault="00000000">
            <w:pPr>
              <w:jc w:val="center"/>
              <w:rPr>
                <w:rFonts w:ascii="Arial" w:hAnsi="Arial" w:cs="Arial"/>
                <w:color w:val="000000"/>
                <w:sz w:val="18"/>
                <w:szCs w:val="18"/>
              </w:rPr>
            </w:pPr>
            <w:r>
              <w:rPr>
                <w:rFonts w:ascii="Arial" w:hAnsi="Arial" w:cs="Arial"/>
              </w:rPr>
              <w:t>E</w:t>
            </w:r>
          </w:p>
        </w:tc>
        <w:tc>
          <w:tcPr>
            <w:tcW w:w="2131" w:type="dxa"/>
            <w:tcBorders>
              <w:top w:val="single" w:sz="6" w:space="0" w:color="auto"/>
              <w:left w:val="single" w:sz="6" w:space="0" w:color="auto"/>
              <w:bottom w:val="single" w:sz="6" w:space="0" w:color="auto"/>
              <w:right w:val="single" w:sz="12" w:space="0" w:color="auto"/>
            </w:tcBorders>
          </w:tcPr>
          <w:p w14:paraId="54EB953A" w14:textId="77777777" w:rsidR="00DB5F94" w:rsidRDefault="00000000">
            <w:pPr>
              <w:jc w:val="center"/>
              <w:rPr>
                <w:rFonts w:ascii="Arial" w:hAnsi="Arial" w:cs="Arial"/>
                <w:color w:val="000000"/>
                <w:sz w:val="18"/>
                <w:szCs w:val="18"/>
              </w:rPr>
            </w:pPr>
            <w:r>
              <w:rPr>
                <w:rFonts w:ascii="Arial" w:hAnsi="Arial" w:cs="Arial"/>
              </w:rPr>
              <w:t>1.716</w:t>
            </w:r>
          </w:p>
        </w:tc>
      </w:tr>
      <w:tr w:rsidR="00DB5F94" w14:paraId="7978F7E3" w14:textId="77777777">
        <w:trPr>
          <w:cantSplit/>
          <w:trHeight w:val="259"/>
        </w:trPr>
        <w:tc>
          <w:tcPr>
            <w:tcW w:w="2010" w:type="dxa"/>
            <w:tcBorders>
              <w:top w:val="single" w:sz="6" w:space="0" w:color="auto"/>
              <w:left w:val="single" w:sz="12" w:space="0" w:color="auto"/>
              <w:bottom w:val="single" w:sz="12" w:space="0" w:color="auto"/>
              <w:right w:val="single" w:sz="6" w:space="0" w:color="auto"/>
            </w:tcBorders>
          </w:tcPr>
          <w:p w14:paraId="6D7FCCE3" w14:textId="77777777" w:rsidR="00DB5F94" w:rsidRDefault="00000000">
            <w:pPr>
              <w:jc w:val="center"/>
              <w:rPr>
                <w:rFonts w:ascii="Arial" w:hAnsi="Arial" w:cs="Arial"/>
                <w:color w:val="000000"/>
                <w:sz w:val="18"/>
                <w:szCs w:val="18"/>
              </w:rPr>
            </w:pPr>
            <w:r>
              <w:rPr>
                <w:rFonts w:ascii="Arial" w:hAnsi="Arial" w:cs="Arial"/>
              </w:rPr>
              <w:t>F</w:t>
            </w:r>
          </w:p>
        </w:tc>
        <w:tc>
          <w:tcPr>
            <w:tcW w:w="2131" w:type="dxa"/>
            <w:tcBorders>
              <w:top w:val="single" w:sz="6" w:space="0" w:color="auto"/>
              <w:left w:val="single" w:sz="6" w:space="0" w:color="auto"/>
              <w:bottom w:val="single" w:sz="12" w:space="0" w:color="auto"/>
              <w:right w:val="single" w:sz="12" w:space="0" w:color="auto"/>
            </w:tcBorders>
          </w:tcPr>
          <w:p w14:paraId="5AE40AA3" w14:textId="77777777" w:rsidR="00DB5F94" w:rsidRDefault="00000000">
            <w:pPr>
              <w:jc w:val="center"/>
              <w:rPr>
                <w:rFonts w:ascii="Arial" w:hAnsi="Arial" w:cs="Arial"/>
                <w:color w:val="000000"/>
                <w:sz w:val="18"/>
                <w:szCs w:val="18"/>
              </w:rPr>
            </w:pPr>
            <w:r>
              <w:rPr>
                <w:rFonts w:ascii="Arial" w:hAnsi="Arial" w:cs="Arial"/>
              </w:rPr>
              <w:t>2.082</w:t>
            </w:r>
          </w:p>
        </w:tc>
      </w:tr>
    </w:tbl>
    <w:p w14:paraId="30CAB627" w14:textId="77777777" w:rsidR="00DB5F94" w:rsidRDefault="00DB5F94">
      <w:pPr>
        <w:tabs>
          <w:tab w:val="left" w:pos="360"/>
        </w:tabs>
        <w:jc w:val="both"/>
        <w:rPr>
          <w:rFonts w:ascii="Arial" w:hAnsi="Arial" w:cs="Arial"/>
          <w:bCs/>
          <w:sz w:val="18"/>
          <w:szCs w:val="18"/>
        </w:rPr>
      </w:pPr>
    </w:p>
    <w:p w14:paraId="6BBAC537" w14:textId="77777777" w:rsidR="00DB5F94" w:rsidRDefault="00DB5F94">
      <w:pPr>
        <w:tabs>
          <w:tab w:val="left" w:pos="360"/>
        </w:tabs>
        <w:jc w:val="both"/>
        <w:rPr>
          <w:rFonts w:ascii="Arial" w:hAnsi="Arial" w:cs="Arial"/>
          <w:bCs/>
          <w:sz w:val="18"/>
          <w:szCs w:val="18"/>
        </w:rPr>
      </w:pPr>
    </w:p>
    <w:p w14:paraId="772CC105" w14:textId="213C34CD" w:rsidR="00DB5F94" w:rsidRDefault="002918E2">
      <w:pPr>
        <w:tabs>
          <w:tab w:val="left" w:pos="360"/>
        </w:tabs>
        <w:jc w:val="both"/>
        <w:rPr>
          <w:rFonts w:ascii="Arial" w:hAnsi="Arial" w:cs="Arial"/>
          <w:bCs/>
          <w:sz w:val="18"/>
          <w:szCs w:val="18"/>
        </w:rPr>
      </w:pPr>
      <w:r>
        <w:object w:dxaOrig="3258" w:dyaOrig="2289" w14:anchorId="304AAF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2.75pt;height:185.3pt" o:ole="">
            <v:imagedata r:id="rId8" o:title=""/>
          </v:shape>
          <o:OLEObject Type="Embed" ProgID="CorelDraw.Graphic.23" ShapeID="_x0000_i1025" DrawAspect="Content" ObjectID="_1787472234" r:id="rId9"/>
        </w:object>
      </w:r>
    </w:p>
    <w:p w14:paraId="0AF5C858" w14:textId="77777777" w:rsidR="00DB5F94" w:rsidRDefault="00DB5F94">
      <w:pPr>
        <w:tabs>
          <w:tab w:val="left" w:pos="360"/>
        </w:tabs>
        <w:jc w:val="both"/>
        <w:rPr>
          <w:rFonts w:ascii="Arial" w:hAnsi="Arial" w:cs="Arial"/>
          <w:bCs/>
          <w:sz w:val="18"/>
          <w:szCs w:val="18"/>
        </w:rPr>
      </w:pPr>
    </w:p>
    <w:p w14:paraId="12137E43" w14:textId="77777777" w:rsidR="00DB5F94" w:rsidRDefault="00DB5F94">
      <w:pPr>
        <w:tabs>
          <w:tab w:val="left" w:pos="360"/>
        </w:tabs>
        <w:jc w:val="both"/>
        <w:rPr>
          <w:rFonts w:ascii="Arial" w:hAnsi="Arial" w:cs="Arial"/>
          <w:bCs/>
          <w:sz w:val="18"/>
          <w:szCs w:val="18"/>
        </w:rPr>
      </w:pPr>
    </w:p>
    <w:p w14:paraId="10DF7CDA" w14:textId="77777777" w:rsidR="00DB5F94" w:rsidRDefault="00000000">
      <w:pPr>
        <w:tabs>
          <w:tab w:val="left" w:pos="142"/>
        </w:tabs>
        <w:rPr>
          <w:rFonts w:ascii="Arial" w:hAnsi="Arial" w:cs="Arial"/>
          <w:bCs/>
          <w:sz w:val="18"/>
          <w:szCs w:val="18"/>
        </w:rPr>
      </w:pPr>
      <w:r>
        <w:rPr>
          <w:rFonts w:ascii="Arial" w:hAnsi="Arial" w:cs="Arial"/>
          <w:bCs/>
          <w:sz w:val="18"/>
          <w:szCs w:val="18"/>
        </w:rPr>
        <w:t>This Standard curve is for the purpose of illustration only and should not be used to calculate samples. Each user should obtain his or her own Standard curve and data.</w:t>
      </w:r>
    </w:p>
    <w:p w14:paraId="68C5669F" w14:textId="77777777" w:rsidR="00DB5F94" w:rsidRDefault="00DB5F94">
      <w:pPr>
        <w:tabs>
          <w:tab w:val="left" w:pos="142"/>
        </w:tabs>
        <w:rPr>
          <w:rFonts w:ascii="Arial" w:hAnsi="Arial" w:cs="Arial"/>
          <w:bCs/>
          <w:sz w:val="18"/>
          <w:szCs w:val="18"/>
        </w:rPr>
      </w:pPr>
    </w:p>
    <w:p w14:paraId="77FEE123" w14:textId="77777777" w:rsidR="00DB5F94" w:rsidRDefault="00000000">
      <w:pPr>
        <w:tabs>
          <w:tab w:val="left" w:pos="142"/>
        </w:tabs>
        <w:rPr>
          <w:rFonts w:ascii="Arial" w:hAnsi="Arial" w:cs="Arial"/>
          <w:bCs/>
          <w:sz w:val="18"/>
          <w:szCs w:val="18"/>
        </w:rPr>
      </w:pPr>
      <w:r>
        <w:rPr>
          <w:rFonts w:ascii="Arial" w:hAnsi="Arial" w:cs="Arial"/>
          <w:bCs/>
          <w:sz w:val="18"/>
          <w:szCs w:val="18"/>
        </w:rPr>
        <w:t>Quality Control</w:t>
      </w:r>
    </w:p>
    <w:p w14:paraId="080FF3D4" w14:textId="77777777" w:rsidR="00DB5F94" w:rsidRDefault="00000000">
      <w:pPr>
        <w:tabs>
          <w:tab w:val="left" w:pos="142"/>
        </w:tabs>
        <w:rPr>
          <w:rFonts w:ascii="Arial" w:hAnsi="Arial" w:cs="Arial"/>
          <w:bCs/>
          <w:sz w:val="18"/>
          <w:szCs w:val="18"/>
        </w:rPr>
      </w:pPr>
      <w:r>
        <w:rPr>
          <w:rFonts w:ascii="Arial" w:hAnsi="Arial" w:cs="Arial"/>
          <w:bCs/>
          <w:sz w:val="18"/>
          <w:szCs w:val="18"/>
        </w:rPr>
        <w:t>The test run may be considered valid provided the following criteria are met:</w:t>
      </w:r>
    </w:p>
    <w:p w14:paraId="6709C615" w14:textId="60511A2F" w:rsidR="00DB5F94" w:rsidRDefault="00000000" w:rsidP="00452937">
      <w:pPr>
        <w:tabs>
          <w:tab w:val="left" w:pos="142"/>
        </w:tabs>
        <w:ind w:left="425" w:hangingChars="236" w:hanging="425"/>
        <w:jc w:val="both"/>
        <w:rPr>
          <w:rFonts w:ascii="Arial" w:hAnsi="Arial" w:cs="Arial"/>
          <w:bCs/>
          <w:sz w:val="18"/>
          <w:szCs w:val="18"/>
        </w:rPr>
      </w:pPr>
      <w:r>
        <w:rPr>
          <w:rFonts w:ascii="Arial" w:hAnsi="Arial" w:cs="Arial"/>
          <w:bCs/>
          <w:sz w:val="18"/>
          <w:szCs w:val="18"/>
          <w:lang w:val="en-GB"/>
        </w:rPr>
        <w:t xml:space="preserve">1.     </w:t>
      </w:r>
      <w:r>
        <w:rPr>
          <w:rFonts w:ascii="Arial" w:hAnsi="Arial" w:cs="Arial"/>
          <w:bCs/>
          <w:sz w:val="18"/>
          <w:szCs w:val="18"/>
        </w:rPr>
        <w:t xml:space="preserve">The O.D. value of the reagent blank against air from </w:t>
      </w:r>
      <w:r w:rsidR="00301C93">
        <w:rPr>
          <w:rFonts w:ascii="Arial" w:hAnsi="Arial" w:cs="Arial"/>
          <w:bCs/>
          <w:sz w:val="18"/>
          <w:szCs w:val="18"/>
        </w:rPr>
        <w:t xml:space="preserve"> </w:t>
      </w:r>
      <w:r w:rsidR="00452937">
        <w:rPr>
          <w:rFonts w:ascii="Arial" w:hAnsi="Arial" w:cs="Arial"/>
          <w:bCs/>
          <w:sz w:val="18"/>
          <w:szCs w:val="18"/>
        </w:rPr>
        <w:t xml:space="preserve"> </w:t>
      </w:r>
      <w:r>
        <w:rPr>
          <w:rFonts w:ascii="Arial" w:hAnsi="Arial" w:cs="Arial"/>
          <w:bCs/>
          <w:sz w:val="18"/>
          <w:szCs w:val="18"/>
        </w:rPr>
        <w:t>a microwell reader should be less than 0.150.</w:t>
      </w:r>
    </w:p>
    <w:p w14:paraId="7D010B10" w14:textId="77777777" w:rsidR="00DB5F94" w:rsidRDefault="00000000">
      <w:pPr>
        <w:tabs>
          <w:tab w:val="left" w:pos="142"/>
        </w:tabs>
        <w:ind w:left="450" w:hangingChars="250" w:hanging="450"/>
        <w:jc w:val="both"/>
        <w:rPr>
          <w:rFonts w:ascii="Arial" w:hAnsi="Arial" w:cs="Arial"/>
          <w:bCs/>
          <w:sz w:val="18"/>
          <w:szCs w:val="18"/>
        </w:rPr>
      </w:pPr>
      <w:r>
        <w:rPr>
          <w:rFonts w:ascii="Arial" w:hAnsi="Arial" w:cs="Arial"/>
          <w:bCs/>
          <w:sz w:val="18"/>
          <w:szCs w:val="18"/>
          <w:lang w:val="en-GB"/>
        </w:rPr>
        <w:t xml:space="preserve">2.     </w:t>
      </w:r>
      <w:r>
        <w:rPr>
          <w:rFonts w:ascii="Arial" w:hAnsi="Arial" w:cs="Arial"/>
          <w:bCs/>
          <w:sz w:val="18"/>
          <w:szCs w:val="18"/>
        </w:rPr>
        <w:t>If the O.D. value of the standard 6 is lower than 1.0, the test is not valid and must be repeated.</w:t>
      </w:r>
    </w:p>
    <w:p w14:paraId="2C12532F" w14:textId="443368A9" w:rsidR="00DB5F94" w:rsidRDefault="00000000" w:rsidP="00452937">
      <w:pPr>
        <w:tabs>
          <w:tab w:val="left" w:pos="142"/>
        </w:tabs>
        <w:ind w:left="425" w:hangingChars="236" w:hanging="425"/>
        <w:rPr>
          <w:rFonts w:ascii="Arial" w:hAnsi="Arial" w:cs="Arial"/>
          <w:bCs/>
          <w:sz w:val="18"/>
          <w:szCs w:val="18"/>
        </w:rPr>
      </w:pPr>
      <w:r>
        <w:rPr>
          <w:rFonts w:ascii="Arial" w:hAnsi="Arial" w:cs="Arial"/>
          <w:bCs/>
          <w:sz w:val="18"/>
          <w:szCs w:val="18"/>
          <w:lang w:val="en-GB"/>
        </w:rPr>
        <w:t xml:space="preserve">3.   </w:t>
      </w:r>
      <w:r w:rsidR="00301C93">
        <w:rPr>
          <w:rFonts w:ascii="Arial" w:hAnsi="Arial" w:cs="Arial"/>
          <w:bCs/>
          <w:sz w:val="18"/>
          <w:szCs w:val="18"/>
          <w:lang w:val="en-GB"/>
        </w:rPr>
        <w:t xml:space="preserve"> </w:t>
      </w:r>
      <w:r>
        <w:rPr>
          <w:rFonts w:ascii="Arial" w:hAnsi="Arial" w:cs="Arial"/>
          <w:bCs/>
          <w:sz w:val="18"/>
          <w:szCs w:val="18"/>
          <w:lang w:val="en-GB"/>
        </w:rPr>
        <w:t xml:space="preserve"> </w:t>
      </w:r>
      <w:r>
        <w:rPr>
          <w:rFonts w:ascii="Arial" w:hAnsi="Arial" w:cs="Arial"/>
          <w:bCs/>
          <w:sz w:val="18"/>
          <w:szCs w:val="18"/>
        </w:rPr>
        <w:t>The concentration of controls should be in the range stated on the labels.</w:t>
      </w:r>
    </w:p>
    <w:p w14:paraId="560DFAFA" w14:textId="0342FA2F" w:rsidR="00DB5F94" w:rsidRDefault="00000000">
      <w:pPr>
        <w:tabs>
          <w:tab w:val="left" w:pos="142"/>
        </w:tabs>
        <w:ind w:left="450" w:hangingChars="250" w:hanging="450"/>
        <w:rPr>
          <w:rFonts w:ascii="Arial" w:hAnsi="Arial" w:cs="Arial"/>
          <w:bCs/>
          <w:sz w:val="18"/>
          <w:szCs w:val="18"/>
        </w:rPr>
      </w:pPr>
      <w:r>
        <w:rPr>
          <w:rFonts w:ascii="Arial" w:hAnsi="Arial" w:cs="Arial"/>
          <w:bCs/>
          <w:sz w:val="18"/>
          <w:szCs w:val="18"/>
          <w:lang w:val="en-GB"/>
        </w:rPr>
        <w:t xml:space="preserve">4.    </w:t>
      </w:r>
      <w:r w:rsidR="00301C93">
        <w:rPr>
          <w:rFonts w:ascii="Arial" w:hAnsi="Arial" w:cs="Arial"/>
          <w:bCs/>
          <w:sz w:val="18"/>
          <w:szCs w:val="18"/>
          <w:lang w:val="en-GB"/>
        </w:rPr>
        <w:t xml:space="preserve"> </w:t>
      </w:r>
      <w:r>
        <w:rPr>
          <w:rFonts w:ascii="Arial" w:hAnsi="Arial" w:cs="Arial"/>
          <w:bCs/>
          <w:sz w:val="18"/>
          <w:szCs w:val="18"/>
          <w:lang w:val="en-GB"/>
        </w:rPr>
        <w:t xml:space="preserve"> </w:t>
      </w:r>
      <w:r>
        <w:rPr>
          <w:rFonts w:ascii="Arial" w:hAnsi="Arial" w:cs="Arial"/>
          <w:bCs/>
          <w:sz w:val="18"/>
          <w:szCs w:val="18"/>
        </w:rPr>
        <w:t>The samples having an OD value higher than Standard 6 should be subsequently diluted and the concentration of Anti-CCP antibodies should be calculated applying the dilution factor.</w:t>
      </w:r>
    </w:p>
    <w:p w14:paraId="71623EE8" w14:textId="77777777" w:rsidR="00DB5F94" w:rsidRDefault="00DB5F94">
      <w:pPr>
        <w:tabs>
          <w:tab w:val="left" w:pos="142"/>
        </w:tabs>
        <w:rPr>
          <w:rFonts w:ascii="Arial" w:hAnsi="Arial" w:cs="Arial"/>
          <w:bCs/>
          <w:sz w:val="18"/>
          <w:szCs w:val="18"/>
        </w:rPr>
      </w:pPr>
    </w:p>
    <w:p w14:paraId="61142E4F" w14:textId="77777777" w:rsidR="00DB5F94" w:rsidRDefault="00000000">
      <w:pPr>
        <w:tabs>
          <w:tab w:val="left" w:pos="142"/>
        </w:tabs>
        <w:rPr>
          <w:rFonts w:ascii="Arial" w:hAnsi="Arial" w:cs="Arial"/>
          <w:bCs/>
          <w:sz w:val="18"/>
          <w:szCs w:val="18"/>
        </w:rPr>
      </w:pPr>
      <w:r>
        <w:rPr>
          <w:rFonts w:ascii="Arial" w:hAnsi="Arial" w:cs="Arial"/>
          <w:bCs/>
          <w:sz w:val="18"/>
          <w:szCs w:val="18"/>
        </w:rPr>
        <w:t>Interpretation</w:t>
      </w:r>
    </w:p>
    <w:p w14:paraId="5E41796B" w14:textId="77777777" w:rsidR="00DB5F94" w:rsidRDefault="00000000">
      <w:pPr>
        <w:tabs>
          <w:tab w:val="left" w:pos="142"/>
        </w:tabs>
        <w:rPr>
          <w:rFonts w:ascii="Arial" w:hAnsi="Arial" w:cs="Arial"/>
          <w:bCs/>
          <w:sz w:val="18"/>
          <w:szCs w:val="18"/>
        </w:rPr>
      </w:pPr>
      <w:r>
        <w:rPr>
          <w:rFonts w:ascii="Arial" w:hAnsi="Arial" w:cs="Arial"/>
          <w:bCs/>
          <w:sz w:val="18"/>
          <w:szCs w:val="18"/>
        </w:rPr>
        <w:t>In a normal range study with samples from 183 healthy blood donors the following ranges have been established with this ELISA assay:</w:t>
      </w:r>
    </w:p>
    <w:p w14:paraId="10DBED38" w14:textId="77777777" w:rsidR="00DB5F94" w:rsidRDefault="00000000">
      <w:pPr>
        <w:tabs>
          <w:tab w:val="left" w:pos="142"/>
        </w:tabs>
        <w:rPr>
          <w:rFonts w:ascii="Arial" w:hAnsi="Arial" w:cs="Arial"/>
          <w:bCs/>
          <w:sz w:val="18"/>
          <w:szCs w:val="18"/>
        </w:rPr>
      </w:pPr>
      <w:r>
        <w:rPr>
          <w:rFonts w:ascii="Arial" w:hAnsi="Arial" w:cs="Arial"/>
          <w:bCs/>
          <w:sz w:val="18"/>
          <w:szCs w:val="18"/>
        </w:rPr>
        <w:t xml:space="preserve">Cut-off:     </w:t>
      </w:r>
      <w:r>
        <w:rPr>
          <w:rFonts w:ascii="Arial" w:hAnsi="Arial" w:cs="Arial"/>
          <w:bCs/>
          <w:sz w:val="18"/>
          <w:szCs w:val="18"/>
        </w:rPr>
        <w:tab/>
        <w:t xml:space="preserve">   25 U/ml</w:t>
      </w:r>
    </w:p>
    <w:p w14:paraId="60282DAC" w14:textId="77777777" w:rsidR="00DB5F94" w:rsidRDefault="00000000">
      <w:pPr>
        <w:tabs>
          <w:tab w:val="left" w:pos="142"/>
        </w:tabs>
        <w:rPr>
          <w:rFonts w:ascii="Arial" w:hAnsi="Arial" w:cs="Arial"/>
          <w:bCs/>
          <w:sz w:val="18"/>
          <w:szCs w:val="18"/>
        </w:rPr>
      </w:pPr>
      <w:r>
        <w:rPr>
          <w:rFonts w:ascii="Arial" w:hAnsi="Arial" w:cs="Arial"/>
          <w:bCs/>
          <w:sz w:val="18"/>
          <w:szCs w:val="18"/>
        </w:rPr>
        <w:t xml:space="preserve">Negative:  </w:t>
      </w:r>
      <w:r>
        <w:rPr>
          <w:rFonts w:ascii="Arial" w:hAnsi="Arial" w:cs="Arial"/>
          <w:bCs/>
          <w:sz w:val="18"/>
          <w:szCs w:val="18"/>
        </w:rPr>
        <w:tab/>
        <w:t>&lt; 25 U/ml</w:t>
      </w:r>
    </w:p>
    <w:p w14:paraId="006CFF66" w14:textId="77777777" w:rsidR="00DB5F94" w:rsidRDefault="00000000">
      <w:pPr>
        <w:tabs>
          <w:tab w:val="left" w:pos="142"/>
        </w:tabs>
        <w:rPr>
          <w:rFonts w:ascii="Arial" w:hAnsi="Arial" w:cs="Arial"/>
          <w:bCs/>
          <w:sz w:val="18"/>
          <w:szCs w:val="18"/>
        </w:rPr>
      </w:pPr>
      <w:r>
        <w:rPr>
          <w:rFonts w:ascii="Arial" w:hAnsi="Arial" w:cs="Arial"/>
          <w:bCs/>
          <w:sz w:val="18"/>
          <w:szCs w:val="18"/>
        </w:rPr>
        <w:t xml:space="preserve">Positive:   </w:t>
      </w:r>
      <w:r>
        <w:rPr>
          <w:rFonts w:ascii="Arial" w:hAnsi="Arial" w:cs="Arial"/>
          <w:bCs/>
          <w:sz w:val="18"/>
          <w:szCs w:val="18"/>
        </w:rPr>
        <w:tab/>
        <w:t>≥ 25 U/ml</w:t>
      </w:r>
    </w:p>
    <w:p w14:paraId="708E8C59" w14:textId="77777777" w:rsidR="00DB5F94" w:rsidRDefault="00DB5F94">
      <w:pPr>
        <w:tabs>
          <w:tab w:val="left" w:pos="142"/>
        </w:tabs>
        <w:rPr>
          <w:rFonts w:ascii="Arial" w:hAnsi="Arial" w:cs="Arial"/>
          <w:bCs/>
          <w:sz w:val="18"/>
          <w:szCs w:val="18"/>
        </w:rPr>
      </w:pPr>
    </w:p>
    <w:p w14:paraId="27AB1730" w14:textId="77777777" w:rsidR="00DB5F94" w:rsidRDefault="00000000">
      <w:pPr>
        <w:tabs>
          <w:tab w:val="left" w:pos="142"/>
        </w:tabs>
        <w:rPr>
          <w:rFonts w:ascii="Arial" w:hAnsi="Arial" w:cs="Arial"/>
          <w:bCs/>
          <w:sz w:val="18"/>
          <w:szCs w:val="18"/>
        </w:rPr>
      </w:pPr>
      <w:r>
        <w:rPr>
          <w:rFonts w:ascii="Arial" w:hAnsi="Arial" w:cs="Arial"/>
          <w:bCs/>
          <w:sz w:val="18"/>
          <w:szCs w:val="18"/>
        </w:rPr>
        <w:t>Detection Limit</w:t>
      </w:r>
    </w:p>
    <w:p w14:paraId="69A55E2F" w14:textId="77777777" w:rsidR="00DB5F94" w:rsidRDefault="00000000">
      <w:pPr>
        <w:tabs>
          <w:tab w:val="left" w:pos="142"/>
        </w:tabs>
        <w:rPr>
          <w:rFonts w:ascii="Arial" w:hAnsi="Arial" w:cs="Arial"/>
          <w:bCs/>
          <w:sz w:val="18"/>
          <w:szCs w:val="18"/>
        </w:rPr>
      </w:pPr>
      <w:r>
        <w:rPr>
          <w:rFonts w:ascii="Arial" w:hAnsi="Arial" w:cs="Arial"/>
          <w:bCs/>
          <w:sz w:val="18"/>
          <w:szCs w:val="18"/>
        </w:rPr>
        <w:t>The analytical sensitivity (lower detection limit, 0 ±2 SD) was established to be 1.9 U/ml.</w:t>
      </w:r>
    </w:p>
    <w:p w14:paraId="0ED235B9" w14:textId="77777777" w:rsidR="00BE17FC" w:rsidRDefault="00BE17FC">
      <w:pPr>
        <w:tabs>
          <w:tab w:val="left" w:pos="142"/>
        </w:tabs>
        <w:rPr>
          <w:rFonts w:ascii="Arial" w:hAnsi="Arial" w:cs="Arial"/>
          <w:bCs/>
          <w:sz w:val="18"/>
          <w:szCs w:val="18"/>
        </w:rPr>
      </w:pPr>
    </w:p>
    <w:p w14:paraId="59F66E21" w14:textId="77777777" w:rsidR="00BE17FC" w:rsidRDefault="00BE17FC">
      <w:pPr>
        <w:tabs>
          <w:tab w:val="left" w:pos="142"/>
        </w:tabs>
        <w:rPr>
          <w:rFonts w:ascii="Arial" w:hAnsi="Arial" w:cs="Arial"/>
          <w:bCs/>
          <w:sz w:val="18"/>
          <w:szCs w:val="18"/>
        </w:rPr>
      </w:pPr>
    </w:p>
    <w:p w14:paraId="081B1170" w14:textId="77777777" w:rsidR="00DB5F94" w:rsidRDefault="00DB5F94">
      <w:pPr>
        <w:tabs>
          <w:tab w:val="left" w:pos="142"/>
        </w:tabs>
        <w:rPr>
          <w:rFonts w:ascii="Arial" w:hAnsi="Arial" w:cs="Arial"/>
          <w:bCs/>
          <w:sz w:val="18"/>
          <w:szCs w:val="18"/>
        </w:rPr>
      </w:pPr>
    </w:p>
    <w:p w14:paraId="1178996E" w14:textId="77777777" w:rsidR="00DB5F94" w:rsidRDefault="00000000">
      <w:pPr>
        <w:tabs>
          <w:tab w:val="left" w:pos="142"/>
        </w:tabs>
        <w:rPr>
          <w:rFonts w:ascii="Arial" w:hAnsi="Arial" w:cs="Arial"/>
          <w:bCs/>
          <w:sz w:val="18"/>
          <w:szCs w:val="18"/>
        </w:rPr>
      </w:pPr>
      <w:r>
        <w:rPr>
          <w:rFonts w:ascii="Arial" w:hAnsi="Arial" w:cs="Arial"/>
          <w:bCs/>
          <w:sz w:val="18"/>
          <w:szCs w:val="18"/>
        </w:rPr>
        <w:t>PERFORMANCE CHARACTERISTICS</w:t>
      </w:r>
    </w:p>
    <w:p w14:paraId="5AA2DD16" w14:textId="2B37F009" w:rsidR="00DB5F94" w:rsidRDefault="00BE17FC">
      <w:pPr>
        <w:tabs>
          <w:tab w:val="left" w:pos="142"/>
        </w:tabs>
        <w:rPr>
          <w:rFonts w:ascii="Arial" w:hAnsi="Arial" w:cs="Arial"/>
          <w:bCs/>
          <w:sz w:val="18"/>
          <w:szCs w:val="18"/>
        </w:rPr>
      </w:pPr>
      <w:r>
        <w:rPr>
          <w:rFonts w:ascii="Arial" w:hAnsi="Arial" w:cs="Arial"/>
          <w:bCs/>
          <w:sz w:val="18"/>
          <w:szCs w:val="18"/>
        </w:rPr>
        <w:t xml:space="preserve">         A)</w:t>
      </w:r>
      <w:r>
        <w:rPr>
          <w:rFonts w:ascii="Arial" w:hAnsi="Arial" w:cs="Arial"/>
          <w:bCs/>
          <w:sz w:val="18"/>
          <w:szCs w:val="18"/>
        </w:rPr>
        <w:tab/>
        <w:t>Internal Evaluation:</w:t>
      </w:r>
    </w:p>
    <w:p w14:paraId="350883D0" w14:textId="77777777" w:rsidR="00DB5F94" w:rsidRDefault="00000000">
      <w:pPr>
        <w:numPr>
          <w:ilvl w:val="0"/>
          <w:numId w:val="7"/>
        </w:numPr>
        <w:tabs>
          <w:tab w:val="left" w:pos="142"/>
        </w:tabs>
        <w:ind w:left="709" w:hanging="214"/>
        <w:rPr>
          <w:rFonts w:ascii="Arial" w:hAnsi="Arial" w:cs="Arial"/>
          <w:bCs/>
          <w:sz w:val="18"/>
          <w:szCs w:val="18"/>
        </w:rPr>
      </w:pPr>
      <w:r>
        <w:rPr>
          <w:rFonts w:ascii="Arial" w:hAnsi="Arial" w:cs="Arial"/>
          <w:bCs/>
          <w:sz w:val="18"/>
          <w:szCs w:val="18"/>
        </w:rPr>
        <w:t>Accuracy: In an internal study Anti-CCP was evaluated against commercially available licensed kit with 90 random clinical samples, &amp; Anti-CCP has demonstrated 100% clinical correlation with the commercially available licensed kit.</w:t>
      </w:r>
    </w:p>
    <w:p w14:paraId="22B58ED7" w14:textId="77777777" w:rsidR="00DB5F94" w:rsidRDefault="00000000">
      <w:pPr>
        <w:tabs>
          <w:tab w:val="left" w:pos="142"/>
        </w:tabs>
        <w:ind w:firstLineChars="250" w:firstLine="450"/>
        <w:rPr>
          <w:rFonts w:ascii="Arial" w:hAnsi="Arial" w:cs="Arial"/>
          <w:bCs/>
          <w:sz w:val="18"/>
          <w:szCs w:val="18"/>
        </w:rPr>
      </w:pPr>
      <w:r>
        <w:rPr>
          <w:rFonts w:ascii="Arial" w:hAnsi="Arial" w:cs="Arial"/>
          <w:bCs/>
          <w:sz w:val="18"/>
          <w:szCs w:val="18"/>
        </w:rPr>
        <w:t>B)</w:t>
      </w:r>
      <w:r>
        <w:rPr>
          <w:rFonts w:ascii="Arial" w:hAnsi="Arial" w:cs="Arial"/>
          <w:bCs/>
          <w:sz w:val="18"/>
          <w:szCs w:val="18"/>
        </w:rPr>
        <w:tab/>
        <w:t>External Evaluation:</w:t>
      </w:r>
    </w:p>
    <w:p w14:paraId="2A35A480" w14:textId="77777777" w:rsidR="00DB5F94" w:rsidRDefault="00000000">
      <w:pPr>
        <w:numPr>
          <w:ilvl w:val="0"/>
          <w:numId w:val="7"/>
        </w:numPr>
        <w:tabs>
          <w:tab w:val="left" w:pos="142"/>
        </w:tabs>
        <w:ind w:left="709" w:hanging="214"/>
        <w:rPr>
          <w:rFonts w:ascii="Arial" w:hAnsi="Arial" w:cs="Arial"/>
          <w:bCs/>
          <w:sz w:val="18"/>
          <w:szCs w:val="18"/>
        </w:rPr>
      </w:pPr>
      <w:r>
        <w:rPr>
          <w:rFonts w:ascii="Arial" w:hAnsi="Arial" w:cs="Arial"/>
          <w:bCs/>
          <w:sz w:val="18"/>
          <w:szCs w:val="18"/>
        </w:rPr>
        <w:t>Anti-CCP ELISA has been evaluated by a NABL accredited lab against their reference method. In this evaluation Anti-CCP ELISA has demonstrated 100% correlation with the reference method.</w:t>
      </w:r>
    </w:p>
    <w:p w14:paraId="66F48688" w14:textId="77777777" w:rsidR="00DB5F94" w:rsidRDefault="00000000">
      <w:pPr>
        <w:numPr>
          <w:ilvl w:val="0"/>
          <w:numId w:val="7"/>
        </w:numPr>
        <w:tabs>
          <w:tab w:val="left" w:pos="142"/>
        </w:tabs>
        <w:ind w:left="709" w:hanging="214"/>
        <w:rPr>
          <w:rFonts w:ascii="Arial" w:hAnsi="Arial" w:cs="Arial"/>
          <w:bCs/>
          <w:sz w:val="18"/>
          <w:szCs w:val="18"/>
        </w:rPr>
      </w:pPr>
      <w:r>
        <w:rPr>
          <w:rFonts w:ascii="Arial" w:hAnsi="Arial" w:cs="Arial"/>
          <w:bCs/>
          <w:sz w:val="18"/>
          <w:szCs w:val="18"/>
        </w:rPr>
        <w:t>*Data file: Orchid Biomedicals (P) Ltd.</w:t>
      </w:r>
    </w:p>
    <w:p w14:paraId="4DDA0CE9" w14:textId="77777777" w:rsidR="00DB5F94" w:rsidRDefault="00DB5F94">
      <w:pPr>
        <w:tabs>
          <w:tab w:val="left" w:pos="142"/>
        </w:tabs>
        <w:rPr>
          <w:rFonts w:ascii="Arial" w:hAnsi="Arial" w:cs="Arial"/>
          <w:bCs/>
          <w:sz w:val="18"/>
          <w:szCs w:val="18"/>
        </w:rPr>
      </w:pPr>
    </w:p>
    <w:p w14:paraId="412E2A00" w14:textId="77777777" w:rsidR="00DB5F94" w:rsidRDefault="00DB5F94">
      <w:pPr>
        <w:tabs>
          <w:tab w:val="left" w:pos="142"/>
        </w:tabs>
        <w:rPr>
          <w:rFonts w:ascii="Arial" w:hAnsi="Arial" w:cs="Arial"/>
          <w:bCs/>
          <w:sz w:val="18"/>
          <w:szCs w:val="18"/>
        </w:rPr>
      </w:pPr>
    </w:p>
    <w:p w14:paraId="230E164C" w14:textId="77777777" w:rsidR="00DB5F94" w:rsidRDefault="00000000">
      <w:pPr>
        <w:tabs>
          <w:tab w:val="left" w:pos="142"/>
        </w:tabs>
        <w:ind w:firstLineChars="200" w:firstLine="360"/>
        <w:rPr>
          <w:rFonts w:ascii="Arial" w:hAnsi="Arial" w:cs="Arial"/>
          <w:bCs/>
          <w:sz w:val="18"/>
          <w:szCs w:val="18"/>
        </w:rPr>
      </w:pPr>
      <w:r>
        <w:rPr>
          <w:rFonts w:ascii="Arial" w:hAnsi="Arial" w:cs="Arial"/>
          <w:bCs/>
          <w:sz w:val="18"/>
          <w:szCs w:val="18"/>
        </w:rPr>
        <w:t>IMPORTANT NOTE</w:t>
      </w:r>
    </w:p>
    <w:p w14:paraId="6E7A2258" w14:textId="77777777" w:rsidR="00DB5F94" w:rsidRDefault="00000000" w:rsidP="00301C93">
      <w:pPr>
        <w:numPr>
          <w:ilvl w:val="0"/>
          <w:numId w:val="11"/>
        </w:numPr>
        <w:tabs>
          <w:tab w:val="left" w:pos="142"/>
        </w:tabs>
        <w:rPr>
          <w:rFonts w:ascii="Arial" w:hAnsi="Arial" w:cs="Arial"/>
          <w:bCs/>
          <w:sz w:val="18"/>
          <w:szCs w:val="18"/>
        </w:rPr>
      </w:pPr>
      <w:r>
        <w:rPr>
          <w:rFonts w:ascii="Arial" w:hAnsi="Arial" w:cs="Arial"/>
          <w:bCs/>
          <w:sz w:val="18"/>
          <w:szCs w:val="18"/>
        </w:rPr>
        <w:t>The Anti-CCP assay is a temperature sensitive assay.  The best temperature condition for this assay is from 18°C to 25°C.</w:t>
      </w:r>
    </w:p>
    <w:p w14:paraId="5E8487C6" w14:textId="77777777" w:rsidR="00DB5F94" w:rsidRDefault="00000000" w:rsidP="00301C93">
      <w:pPr>
        <w:numPr>
          <w:ilvl w:val="0"/>
          <w:numId w:val="11"/>
        </w:numPr>
        <w:tabs>
          <w:tab w:val="left" w:pos="142"/>
        </w:tabs>
        <w:rPr>
          <w:rFonts w:ascii="Arial" w:hAnsi="Arial" w:cs="Arial"/>
          <w:bCs/>
          <w:sz w:val="18"/>
          <w:szCs w:val="18"/>
        </w:rPr>
      </w:pPr>
      <w:r>
        <w:rPr>
          <w:rFonts w:ascii="Arial" w:hAnsi="Arial" w:cs="Arial"/>
          <w:bCs/>
          <w:sz w:val="18"/>
          <w:szCs w:val="18"/>
        </w:rPr>
        <w:t>The wash procedure is critical. Insufficient washing will result in poor precision and falsely elevated absorbance readings.</w:t>
      </w:r>
    </w:p>
    <w:p w14:paraId="1D598FDF" w14:textId="77777777" w:rsidR="00DB5F94" w:rsidRDefault="00000000" w:rsidP="00301C93">
      <w:pPr>
        <w:numPr>
          <w:ilvl w:val="0"/>
          <w:numId w:val="11"/>
        </w:numPr>
        <w:tabs>
          <w:tab w:val="left" w:pos="142"/>
        </w:tabs>
        <w:rPr>
          <w:rFonts w:ascii="Arial" w:hAnsi="Arial" w:cs="Arial"/>
          <w:bCs/>
          <w:sz w:val="18"/>
          <w:szCs w:val="18"/>
        </w:rPr>
      </w:pPr>
      <w:r>
        <w:rPr>
          <w:rFonts w:ascii="Arial" w:hAnsi="Arial" w:cs="Arial"/>
          <w:bCs/>
          <w:sz w:val="18"/>
          <w:szCs w:val="18"/>
        </w:rPr>
        <w:t xml:space="preserve">It is recommended to use the </w:t>
      </w:r>
      <w:proofErr w:type="spellStart"/>
      <w:proofErr w:type="gramStart"/>
      <w:r>
        <w:rPr>
          <w:rFonts w:ascii="Arial" w:hAnsi="Arial" w:cs="Arial"/>
          <w:bCs/>
          <w:sz w:val="18"/>
          <w:szCs w:val="18"/>
        </w:rPr>
        <w:t>multi channel</w:t>
      </w:r>
      <w:proofErr w:type="spellEnd"/>
      <w:proofErr w:type="gramEnd"/>
      <w:r>
        <w:rPr>
          <w:rFonts w:ascii="Arial" w:hAnsi="Arial" w:cs="Arial"/>
          <w:bCs/>
          <w:sz w:val="18"/>
          <w:szCs w:val="18"/>
        </w:rPr>
        <w:t xml:space="preserve"> pipettes to avoid time effect. A full plate of 96 wells may be used if automated pipetting is available.</w:t>
      </w:r>
    </w:p>
    <w:p w14:paraId="0FF128CB" w14:textId="77777777" w:rsidR="00DB5F94" w:rsidRDefault="00000000" w:rsidP="00301C93">
      <w:pPr>
        <w:numPr>
          <w:ilvl w:val="0"/>
          <w:numId w:val="11"/>
        </w:numPr>
        <w:tabs>
          <w:tab w:val="left" w:pos="142"/>
        </w:tabs>
        <w:rPr>
          <w:rFonts w:ascii="Arial" w:hAnsi="Arial" w:cs="Arial"/>
          <w:bCs/>
          <w:sz w:val="18"/>
          <w:szCs w:val="18"/>
        </w:rPr>
      </w:pPr>
      <w:r>
        <w:rPr>
          <w:rFonts w:ascii="Arial" w:hAnsi="Arial" w:cs="Arial"/>
          <w:bCs/>
          <w:sz w:val="18"/>
          <w:szCs w:val="18"/>
        </w:rPr>
        <w:t>Duplication of Standards, Controls &amp; Samples is not mandatory but may provide information on reproducibility &amp; application errors.</w:t>
      </w:r>
    </w:p>
    <w:p w14:paraId="31B6B1DD" w14:textId="77777777" w:rsidR="00DB5F94" w:rsidRDefault="00000000" w:rsidP="00301C93">
      <w:pPr>
        <w:tabs>
          <w:tab w:val="left" w:pos="142"/>
        </w:tabs>
        <w:ind w:left="360"/>
        <w:jc w:val="both"/>
        <w:rPr>
          <w:rFonts w:ascii="Arial" w:hAnsi="Arial" w:cs="Arial"/>
          <w:bCs/>
          <w:sz w:val="18"/>
          <w:szCs w:val="18"/>
        </w:rPr>
      </w:pPr>
      <w:r>
        <w:rPr>
          <w:rFonts w:ascii="Arial" w:hAnsi="Arial" w:cs="Arial"/>
          <w:bCs/>
          <w:sz w:val="18"/>
          <w:szCs w:val="18"/>
        </w:rPr>
        <w:t>.</w:t>
      </w:r>
    </w:p>
    <w:p w14:paraId="48D23504" w14:textId="77777777" w:rsidR="00DB5F94" w:rsidRDefault="00000000">
      <w:pPr>
        <w:tabs>
          <w:tab w:val="left" w:pos="142"/>
        </w:tabs>
        <w:ind w:firstLineChars="200" w:firstLine="360"/>
        <w:jc w:val="both"/>
        <w:rPr>
          <w:rFonts w:ascii="Arial" w:hAnsi="Arial" w:cs="Arial"/>
          <w:bCs/>
          <w:sz w:val="18"/>
          <w:szCs w:val="18"/>
        </w:rPr>
      </w:pPr>
      <w:r>
        <w:rPr>
          <w:rFonts w:ascii="Arial" w:hAnsi="Arial" w:cs="Arial"/>
          <w:bCs/>
          <w:sz w:val="18"/>
          <w:szCs w:val="18"/>
        </w:rPr>
        <w:t>LIMITATIONS OF THE ASSAY</w:t>
      </w:r>
    </w:p>
    <w:p w14:paraId="4348AA1A" w14:textId="77777777" w:rsidR="00DB5F94" w:rsidRDefault="00000000">
      <w:pPr>
        <w:numPr>
          <w:ilvl w:val="0"/>
          <w:numId w:val="10"/>
        </w:numPr>
        <w:tabs>
          <w:tab w:val="left" w:pos="142"/>
        </w:tabs>
        <w:ind w:left="714" w:hanging="357"/>
        <w:jc w:val="both"/>
        <w:rPr>
          <w:rFonts w:ascii="Arial" w:hAnsi="Arial" w:cs="Arial"/>
          <w:bCs/>
          <w:sz w:val="18"/>
          <w:szCs w:val="18"/>
        </w:rPr>
      </w:pPr>
      <w:r>
        <w:rPr>
          <w:rFonts w:ascii="Arial" w:hAnsi="Arial" w:cs="Arial"/>
          <w:bCs/>
          <w:sz w:val="18"/>
          <w:szCs w:val="18"/>
        </w:rPr>
        <w:tab/>
        <w:t xml:space="preserve">As with all diagnostic tests, a definite clinical diagnosis should not be based on the results of a single </w:t>
      </w:r>
      <w:proofErr w:type="gramStart"/>
      <w:r>
        <w:rPr>
          <w:rFonts w:ascii="Arial" w:hAnsi="Arial" w:cs="Arial"/>
          <w:bCs/>
          <w:sz w:val="18"/>
          <w:szCs w:val="18"/>
        </w:rPr>
        <w:t>test, but</w:t>
      </w:r>
      <w:proofErr w:type="gramEnd"/>
      <w:r>
        <w:rPr>
          <w:rFonts w:ascii="Arial" w:hAnsi="Arial" w:cs="Arial"/>
          <w:bCs/>
          <w:sz w:val="18"/>
          <w:szCs w:val="18"/>
        </w:rPr>
        <w:t xml:space="preserve"> should only be made by the physician after all clinical and laboratory findings have been evaluated.</w:t>
      </w:r>
    </w:p>
    <w:p w14:paraId="55B28481" w14:textId="77777777" w:rsidR="00DB5F94" w:rsidRDefault="00000000">
      <w:pPr>
        <w:numPr>
          <w:ilvl w:val="0"/>
          <w:numId w:val="10"/>
        </w:numPr>
        <w:tabs>
          <w:tab w:val="left" w:pos="142"/>
        </w:tabs>
        <w:ind w:left="714" w:hanging="357"/>
        <w:jc w:val="both"/>
        <w:rPr>
          <w:rFonts w:ascii="Arial" w:hAnsi="Arial" w:cs="Arial"/>
          <w:bCs/>
          <w:sz w:val="18"/>
          <w:szCs w:val="18"/>
        </w:rPr>
      </w:pPr>
      <w:r>
        <w:rPr>
          <w:rFonts w:ascii="Arial" w:hAnsi="Arial" w:cs="Arial"/>
          <w:bCs/>
          <w:sz w:val="18"/>
          <w:szCs w:val="18"/>
        </w:rPr>
        <w:tab/>
        <w:t xml:space="preserve">The activity of the enzyme used is temperature-dependent and the OD values may vary. The higher the room temperature (+18°C to +25°C) during substrate incubation, the greater will be the OD values. Corresponding variations apply also to the incubation times. However, the standards are subject to the same influences, with the result that such variations will be largely </w:t>
      </w:r>
      <w:proofErr w:type="gramStart"/>
      <w:r>
        <w:rPr>
          <w:rFonts w:ascii="Arial" w:hAnsi="Arial" w:cs="Arial"/>
          <w:bCs/>
          <w:sz w:val="18"/>
          <w:szCs w:val="18"/>
        </w:rPr>
        <w:t>compensated</w:t>
      </w:r>
      <w:proofErr w:type="gramEnd"/>
      <w:r>
        <w:rPr>
          <w:rFonts w:ascii="Arial" w:hAnsi="Arial" w:cs="Arial"/>
          <w:bCs/>
          <w:sz w:val="18"/>
          <w:szCs w:val="18"/>
        </w:rPr>
        <w:t xml:space="preserve"> in the calculation of the result. </w:t>
      </w:r>
    </w:p>
    <w:p w14:paraId="3C9239A2" w14:textId="77777777" w:rsidR="00DB5F94" w:rsidRDefault="00000000">
      <w:pPr>
        <w:numPr>
          <w:ilvl w:val="0"/>
          <w:numId w:val="10"/>
        </w:numPr>
        <w:tabs>
          <w:tab w:val="left" w:pos="142"/>
        </w:tabs>
        <w:ind w:left="714" w:hanging="357"/>
        <w:jc w:val="both"/>
        <w:rPr>
          <w:rFonts w:ascii="Arial" w:hAnsi="Arial" w:cs="Arial"/>
          <w:bCs/>
          <w:sz w:val="18"/>
          <w:szCs w:val="18"/>
        </w:rPr>
      </w:pPr>
      <w:r>
        <w:rPr>
          <w:rFonts w:ascii="Arial" w:hAnsi="Arial" w:cs="Arial"/>
          <w:bCs/>
          <w:sz w:val="18"/>
          <w:szCs w:val="18"/>
        </w:rPr>
        <w:tab/>
        <w:t xml:space="preserve">Adaptation of this assay for use with automated sample processors and other liquid handling devices, in whole or in part, may yield differences in test results from those obtained using the manual procedure. It is the responsibility of each laboratory to validate that their automated procedure yields test results within acceptable limits. </w:t>
      </w:r>
    </w:p>
    <w:p w14:paraId="50B9BD7D" w14:textId="77777777" w:rsidR="00DB5F94" w:rsidRDefault="00000000">
      <w:pPr>
        <w:numPr>
          <w:ilvl w:val="0"/>
          <w:numId w:val="10"/>
        </w:numPr>
        <w:tabs>
          <w:tab w:val="left" w:pos="142"/>
        </w:tabs>
        <w:ind w:left="714" w:hanging="357"/>
        <w:jc w:val="both"/>
        <w:rPr>
          <w:rFonts w:ascii="Arial" w:hAnsi="Arial" w:cs="Arial"/>
          <w:bCs/>
          <w:sz w:val="18"/>
          <w:szCs w:val="18"/>
        </w:rPr>
      </w:pPr>
      <w:r>
        <w:rPr>
          <w:rFonts w:ascii="Arial" w:hAnsi="Arial" w:cs="Arial"/>
          <w:bCs/>
          <w:sz w:val="18"/>
          <w:szCs w:val="18"/>
        </w:rPr>
        <w:tab/>
        <w:t>Insufficient washing (e.g., less than 3 wash cycles, too small wash buffer volumes, or shortened reaction times) can lead to incorrect OD values.</w:t>
      </w:r>
    </w:p>
    <w:p w14:paraId="00A742C0" w14:textId="77777777" w:rsidR="00DB5F94" w:rsidRDefault="00DB5F94">
      <w:pPr>
        <w:tabs>
          <w:tab w:val="left" w:pos="142"/>
        </w:tabs>
        <w:jc w:val="both"/>
        <w:rPr>
          <w:rFonts w:ascii="Arial" w:hAnsi="Arial" w:cs="Arial"/>
          <w:bCs/>
          <w:sz w:val="18"/>
          <w:szCs w:val="18"/>
        </w:rPr>
      </w:pPr>
    </w:p>
    <w:p w14:paraId="2BB8672A" w14:textId="77777777" w:rsidR="00DB5F94" w:rsidRDefault="00DB5F94">
      <w:pPr>
        <w:tabs>
          <w:tab w:val="left" w:pos="142"/>
        </w:tabs>
        <w:jc w:val="both"/>
        <w:rPr>
          <w:rFonts w:ascii="Arial" w:hAnsi="Arial" w:cs="Arial"/>
          <w:bCs/>
          <w:sz w:val="18"/>
          <w:szCs w:val="18"/>
        </w:rPr>
      </w:pPr>
    </w:p>
    <w:p w14:paraId="5C5A7E90" w14:textId="77777777" w:rsidR="00DB5F94" w:rsidRDefault="00000000">
      <w:pPr>
        <w:tabs>
          <w:tab w:val="left" w:pos="142"/>
        </w:tabs>
        <w:jc w:val="both"/>
        <w:rPr>
          <w:rFonts w:ascii="Arial" w:hAnsi="Arial" w:cs="Arial"/>
          <w:bCs/>
          <w:sz w:val="18"/>
          <w:szCs w:val="18"/>
        </w:rPr>
      </w:pPr>
      <w:r>
        <w:rPr>
          <w:rFonts w:ascii="Arial" w:hAnsi="Arial" w:cs="Arial"/>
          <w:bCs/>
          <w:sz w:val="18"/>
          <w:szCs w:val="18"/>
        </w:rPr>
        <w:t>BIBLIOGRAPHY</w:t>
      </w:r>
    </w:p>
    <w:p w14:paraId="16B64A85" w14:textId="77777777" w:rsidR="00DB5F94" w:rsidRDefault="00000000">
      <w:pPr>
        <w:tabs>
          <w:tab w:val="left" w:pos="142"/>
        </w:tabs>
        <w:jc w:val="both"/>
        <w:rPr>
          <w:rFonts w:ascii="Arial" w:hAnsi="Arial" w:cs="Arial"/>
          <w:bCs/>
          <w:sz w:val="18"/>
          <w:szCs w:val="18"/>
        </w:rPr>
      </w:pPr>
      <w:r>
        <w:rPr>
          <w:rFonts w:ascii="Arial" w:hAnsi="Arial" w:cs="Arial"/>
          <w:bCs/>
          <w:sz w:val="18"/>
          <w:szCs w:val="18"/>
        </w:rPr>
        <w:t xml:space="preserve">(1). Arnett FC, Edworthy SM, Bloch DA, et al. The American Rheumatism Association 1987 revised criteria for the classification of rheumatoid arthritis. Arthritis Rheum 1988;31(3):315-24. (2). van </w:t>
      </w:r>
      <w:proofErr w:type="spellStart"/>
      <w:r>
        <w:rPr>
          <w:rFonts w:ascii="Arial" w:hAnsi="Arial" w:cs="Arial"/>
          <w:bCs/>
          <w:sz w:val="18"/>
          <w:szCs w:val="18"/>
        </w:rPr>
        <w:t>Venrooij</w:t>
      </w:r>
      <w:proofErr w:type="spellEnd"/>
      <w:r>
        <w:rPr>
          <w:rFonts w:ascii="Arial" w:hAnsi="Arial" w:cs="Arial"/>
          <w:bCs/>
          <w:sz w:val="18"/>
          <w:szCs w:val="18"/>
        </w:rPr>
        <w:t xml:space="preserve"> WJ, Hazes JM, Visser H. Anticitrullinated protein/peptide antibody and its role in the diagnosis and prognosis of early rheumatoid arthritis. Neth J Med 2002;60(10):383-8. (3). Nienhuis RL, </w:t>
      </w:r>
      <w:proofErr w:type="spellStart"/>
      <w:r>
        <w:rPr>
          <w:rFonts w:ascii="Arial" w:hAnsi="Arial" w:cs="Arial"/>
          <w:bCs/>
          <w:sz w:val="18"/>
          <w:szCs w:val="18"/>
        </w:rPr>
        <w:t>Mandema</w:t>
      </w:r>
      <w:proofErr w:type="spellEnd"/>
      <w:r>
        <w:rPr>
          <w:rFonts w:ascii="Arial" w:hAnsi="Arial" w:cs="Arial"/>
          <w:bCs/>
          <w:sz w:val="18"/>
          <w:szCs w:val="18"/>
        </w:rPr>
        <w:t xml:space="preserve"> E, Smids C. A new serum factor in patients with rheumatoid arthritis. The antiperinuclear factor. Ann Rheum Dis </w:t>
      </w:r>
      <w:proofErr w:type="gramStart"/>
      <w:r>
        <w:rPr>
          <w:rFonts w:ascii="Arial" w:hAnsi="Arial" w:cs="Arial"/>
          <w:bCs/>
          <w:sz w:val="18"/>
          <w:szCs w:val="18"/>
        </w:rPr>
        <w:t>1964;23:302</w:t>
      </w:r>
      <w:proofErr w:type="gramEnd"/>
      <w:r>
        <w:rPr>
          <w:rFonts w:ascii="Arial" w:hAnsi="Arial" w:cs="Arial"/>
          <w:bCs/>
          <w:sz w:val="18"/>
          <w:szCs w:val="18"/>
        </w:rPr>
        <w:t xml:space="preserve">-05. (4). Young BJ, Mallya RK, Leslie RD, et al. Anti-keratin antibodies in rheumatoid arthritis. Br Med J </w:t>
      </w:r>
      <w:proofErr w:type="gramStart"/>
      <w:r>
        <w:rPr>
          <w:rFonts w:ascii="Arial" w:hAnsi="Arial" w:cs="Arial"/>
          <w:bCs/>
          <w:sz w:val="18"/>
          <w:szCs w:val="18"/>
        </w:rPr>
        <w:t>1979;2:97</w:t>
      </w:r>
      <w:proofErr w:type="gramEnd"/>
      <w:r>
        <w:rPr>
          <w:rFonts w:ascii="Arial" w:hAnsi="Arial" w:cs="Arial"/>
          <w:bCs/>
          <w:sz w:val="18"/>
          <w:szCs w:val="18"/>
        </w:rPr>
        <w:t xml:space="preserve">-9. (5). </w:t>
      </w:r>
      <w:proofErr w:type="spellStart"/>
      <w:r>
        <w:rPr>
          <w:rFonts w:ascii="Arial" w:hAnsi="Arial" w:cs="Arial"/>
          <w:bCs/>
          <w:sz w:val="18"/>
          <w:szCs w:val="18"/>
        </w:rPr>
        <w:t>Hoet</w:t>
      </w:r>
      <w:proofErr w:type="spellEnd"/>
      <w:r>
        <w:rPr>
          <w:rFonts w:ascii="Arial" w:hAnsi="Arial" w:cs="Arial"/>
          <w:bCs/>
          <w:sz w:val="18"/>
          <w:szCs w:val="18"/>
        </w:rPr>
        <w:t xml:space="preserve"> RM, </w:t>
      </w:r>
      <w:proofErr w:type="spellStart"/>
      <w:r>
        <w:rPr>
          <w:rFonts w:ascii="Arial" w:hAnsi="Arial" w:cs="Arial"/>
          <w:bCs/>
          <w:sz w:val="18"/>
          <w:szCs w:val="18"/>
        </w:rPr>
        <w:t>Boerbooms</w:t>
      </w:r>
      <w:proofErr w:type="spellEnd"/>
      <w:r>
        <w:rPr>
          <w:rFonts w:ascii="Arial" w:hAnsi="Arial" w:cs="Arial"/>
          <w:bCs/>
          <w:sz w:val="18"/>
          <w:szCs w:val="18"/>
        </w:rPr>
        <w:t xml:space="preserve"> AM, Arends M, et al. Antiperinuclear factor, a marker autoantibody for rheumatoid arthritis: </w:t>
      </w:r>
      <w:proofErr w:type="spellStart"/>
      <w:r>
        <w:rPr>
          <w:rFonts w:ascii="Arial" w:hAnsi="Arial" w:cs="Arial"/>
          <w:bCs/>
          <w:sz w:val="18"/>
          <w:szCs w:val="18"/>
        </w:rPr>
        <w:t>colocalisation</w:t>
      </w:r>
      <w:proofErr w:type="spellEnd"/>
      <w:r>
        <w:rPr>
          <w:rFonts w:ascii="Arial" w:hAnsi="Arial" w:cs="Arial"/>
          <w:bCs/>
          <w:sz w:val="18"/>
          <w:szCs w:val="18"/>
        </w:rPr>
        <w:t xml:space="preserve"> of the perinuclear factor and </w:t>
      </w:r>
      <w:proofErr w:type="spellStart"/>
      <w:r>
        <w:rPr>
          <w:rFonts w:ascii="Arial" w:hAnsi="Arial" w:cs="Arial"/>
          <w:bCs/>
          <w:sz w:val="18"/>
          <w:szCs w:val="18"/>
        </w:rPr>
        <w:t>profilaggrin</w:t>
      </w:r>
      <w:proofErr w:type="spellEnd"/>
      <w:r>
        <w:rPr>
          <w:rFonts w:ascii="Arial" w:hAnsi="Arial" w:cs="Arial"/>
          <w:bCs/>
          <w:sz w:val="18"/>
          <w:szCs w:val="18"/>
        </w:rPr>
        <w:t xml:space="preserve">. Ann Rheum Dis </w:t>
      </w:r>
      <w:proofErr w:type="gramStart"/>
      <w:r>
        <w:rPr>
          <w:rFonts w:ascii="Arial" w:hAnsi="Arial" w:cs="Arial"/>
          <w:bCs/>
          <w:sz w:val="18"/>
          <w:szCs w:val="18"/>
        </w:rPr>
        <w:t>1991;50:611</w:t>
      </w:r>
      <w:proofErr w:type="gramEnd"/>
      <w:r>
        <w:rPr>
          <w:rFonts w:ascii="Arial" w:hAnsi="Arial" w:cs="Arial"/>
          <w:bCs/>
          <w:sz w:val="18"/>
          <w:szCs w:val="18"/>
        </w:rPr>
        <w:t xml:space="preserve">-8. (6). </w:t>
      </w:r>
      <w:proofErr w:type="spellStart"/>
      <w:r>
        <w:rPr>
          <w:rFonts w:ascii="Arial" w:hAnsi="Arial" w:cs="Arial"/>
          <w:bCs/>
          <w:sz w:val="18"/>
          <w:szCs w:val="18"/>
        </w:rPr>
        <w:t>Sebbag</w:t>
      </w:r>
      <w:proofErr w:type="spellEnd"/>
      <w:r>
        <w:rPr>
          <w:rFonts w:ascii="Arial" w:hAnsi="Arial" w:cs="Arial"/>
          <w:bCs/>
          <w:sz w:val="18"/>
          <w:szCs w:val="18"/>
        </w:rPr>
        <w:t xml:space="preserve"> M, Simon M, Vincent C, et al. The antiperinuclear factor and the so-called antikeratin antibodies are the same rheumatoid </w:t>
      </w:r>
      <w:proofErr w:type="spellStart"/>
      <w:r>
        <w:rPr>
          <w:rFonts w:ascii="Arial" w:hAnsi="Arial" w:cs="Arial"/>
          <w:bCs/>
          <w:sz w:val="18"/>
          <w:szCs w:val="18"/>
        </w:rPr>
        <w:t>arthritisspecific</w:t>
      </w:r>
      <w:proofErr w:type="spellEnd"/>
      <w:r>
        <w:rPr>
          <w:rFonts w:ascii="Arial" w:hAnsi="Arial" w:cs="Arial"/>
          <w:bCs/>
          <w:sz w:val="18"/>
          <w:szCs w:val="18"/>
        </w:rPr>
        <w:t xml:space="preserve"> autoantibodies. J Clin Invest </w:t>
      </w:r>
      <w:proofErr w:type="gramStart"/>
      <w:r>
        <w:rPr>
          <w:rFonts w:ascii="Arial" w:hAnsi="Arial" w:cs="Arial"/>
          <w:bCs/>
          <w:sz w:val="18"/>
          <w:szCs w:val="18"/>
        </w:rPr>
        <w:t>1995;95:2672</w:t>
      </w:r>
      <w:proofErr w:type="gramEnd"/>
      <w:r>
        <w:rPr>
          <w:rFonts w:ascii="Arial" w:hAnsi="Arial" w:cs="Arial"/>
          <w:bCs/>
          <w:sz w:val="18"/>
          <w:szCs w:val="18"/>
        </w:rPr>
        <w:t xml:space="preserve">-9. (7). Bizzaro N. et al. Diagnostic Accuracy of the </w:t>
      </w:r>
      <w:proofErr w:type="spellStart"/>
      <w:r>
        <w:rPr>
          <w:rFonts w:ascii="Arial" w:hAnsi="Arial" w:cs="Arial"/>
          <w:bCs/>
          <w:sz w:val="18"/>
          <w:szCs w:val="18"/>
        </w:rPr>
        <w:t>anticitrulline</w:t>
      </w:r>
      <w:proofErr w:type="spellEnd"/>
      <w:r>
        <w:rPr>
          <w:rFonts w:ascii="Arial" w:hAnsi="Arial" w:cs="Arial"/>
          <w:bCs/>
          <w:sz w:val="18"/>
          <w:szCs w:val="18"/>
        </w:rPr>
        <w:t xml:space="preserve"> antibody assay </w:t>
      </w:r>
      <w:proofErr w:type="gramStart"/>
      <w:r>
        <w:rPr>
          <w:rFonts w:ascii="Arial" w:hAnsi="Arial" w:cs="Arial"/>
          <w:bCs/>
          <w:sz w:val="18"/>
          <w:szCs w:val="18"/>
        </w:rPr>
        <w:t>for  rheumatoid</w:t>
      </w:r>
      <w:proofErr w:type="gramEnd"/>
      <w:r>
        <w:rPr>
          <w:rFonts w:ascii="Arial" w:hAnsi="Arial" w:cs="Arial"/>
          <w:bCs/>
          <w:sz w:val="18"/>
          <w:szCs w:val="18"/>
        </w:rPr>
        <w:t xml:space="preserve"> arthritis. Clin Chem 47:6, 1089-1093,2001. (8). Schellekens G. et al. The diagnostic properties of rheumatoid arthritis antibodies recognizing a cyclic citrullinated peptide. Arthritis Rheum 43:155-163 (2000). (9). Baeten D. et al. Specific presence of intracellular citrullinated proteins </w:t>
      </w:r>
      <w:proofErr w:type="gramStart"/>
      <w:r>
        <w:rPr>
          <w:rFonts w:ascii="Arial" w:hAnsi="Arial" w:cs="Arial"/>
          <w:bCs/>
          <w:sz w:val="18"/>
          <w:szCs w:val="18"/>
        </w:rPr>
        <w:t>in  rheumatoid</w:t>
      </w:r>
      <w:proofErr w:type="gramEnd"/>
      <w:r>
        <w:rPr>
          <w:rFonts w:ascii="Arial" w:hAnsi="Arial" w:cs="Arial"/>
          <w:bCs/>
          <w:sz w:val="18"/>
          <w:szCs w:val="18"/>
        </w:rPr>
        <w:t xml:space="preserve"> arthritis synovium. Arthritis Rheum 44:2255-2262 (2001). (10</w:t>
      </w:r>
      <w:proofErr w:type="gramStart"/>
      <w:r>
        <w:rPr>
          <w:rFonts w:ascii="Arial" w:hAnsi="Arial" w:cs="Arial"/>
          <w:bCs/>
          <w:sz w:val="18"/>
          <w:szCs w:val="18"/>
        </w:rPr>
        <w:t>).del</w:t>
      </w:r>
      <w:proofErr w:type="gramEnd"/>
      <w:r>
        <w:rPr>
          <w:rFonts w:ascii="Arial" w:hAnsi="Arial" w:cs="Arial"/>
          <w:bCs/>
          <w:sz w:val="18"/>
          <w:szCs w:val="18"/>
        </w:rPr>
        <w:t xml:space="preserve"> Val del Amo N, Ibanez Bosch R, Fito Manteca C, et al. Anti-cyclic  citrullinated peptide antibody in rheumatoid arthritis: relation with disease aggressiveness. Clin Exp </w:t>
      </w:r>
      <w:proofErr w:type="spellStart"/>
      <w:r>
        <w:rPr>
          <w:rFonts w:ascii="Arial" w:hAnsi="Arial" w:cs="Arial"/>
          <w:bCs/>
          <w:sz w:val="18"/>
          <w:szCs w:val="18"/>
        </w:rPr>
        <w:t>Rheumatol</w:t>
      </w:r>
      <w:proofErr w:type="spellEnd"/>
      <w:r>
        <w:rPr>
          <w:rFonts w:ascii="Arial" w:hAnsi="Arial" w:cs="Arial"/>
          <w:bCs/>
          <w:sz w:val="18"/>
          <w:szCs w:val="18"/>
        </w:rPr>
        <w:t xml:space="preserve">. 2006;24(3):281-6. (11). </w:t>
      </w:r>
      <w:proofErr w:type="spellStart"/>
      <w:r>
        <w:rPr>
          <w:rFonts w:ascii="Arial" w:hAnsi="Arial" w:cs="Arial"/>
          <w:bCs/>
          <w:sz w:val="18"/>
          <w:szCs w:val="18"/>
        </w:rPr>
        <w:t>Samanci</w:t>
      </w:r>
      <w:proofErr w:type="spellEnd"/>
      <w:r>
        <w:rPr>
          <w:rFonts w:ascii="Arial" w:hAnsi="Arial" w:cs="Arial"/>
          <w:bCs/>
          <w:sz w:val="18"/>
          <w:szCs w:val="18"/>
        </w:rPr>
        <w:t xml:space="preserve"> N, </w:t>
      </w:r>
      <w:proofErr w:type="spellStart"/>
      <w:r>
        <w:rPr>
          <w:rFonts w:ascii="Arial" w:hAnsi="Arial" w:cs="Arial"/>
          <w:bCs/>
          <w:sz w:val="18"/>
          <w:szCs w:val="18"/>
        </w:rPr>
        <w:t>Ozdem</w:t>
      </w:r>
      <w:proofErr w:type="spellEnd"/>
      <w:r>
        <w:rPr>
          <w:rFonts w:ascii="Arial" w:hAnsi="Arial" w:cs="Arial"/>
          <w:bCs/>
          <w:sz w:val="18"/>
          <w:szCs w:val="18"/>
        </w:rPr>
        <w:t xml:space="preserve"> S, Akbas H, et al. Diagnostic value and </w:t>
      </w:r>
      <w:proofErr w:type="gramStart"/>
      <w:r>
        <w:rPr>
          <w:rFonts w:ascii="Arial" w:hAnsi="Arial" w:cs="Arial"/>
          <w:bCs/>
          <w:sz w:val="18"/>
          <w:szCs w:val="18"/>
        </w:rPr>
        <w:t>clinical  significance</w:t>
      </w:r>
      <w:proofErr w:type="gramEnd"/>
      <w:r>
        <w:rPr>
          <w:rFonts w:ascii="Arial" w:hAnsi="Arial" w:cs="Arial"/>
          <w:bCs/>
          <w:sz w:val="18"/>
          <w:szCs w:val="18"/>
        </w:rPr>
        <w:t xml:space="preserve"> of Anti CCP in patients with advanced rheumatoid arthritis. J Natl Med Assoc. 005;97(8):1120-6. (12). Matsui T, Shimada K, Ozawa N, et al. Diagnostic utility of anti-cyclic citrullinated peptide antibodies for very early rheumatoid arthritis. J </w:t>
      </w:r>
      <w:proofErr w:type="spellStart"/>
      <w:r>
        <w:rPr>
          <w:rFonts w:ascii="Arial" w:hAnsi="Arial" w:cs="Arial"/>
          <w:bCs/>
          <w:sz w:val="18"/>
          <w:szCs w:val="18"/>
        </w:rPr>
        <w:t>Rheumatol</w:t>
      </w:r>
      <w:proofErr w:type="spellEnd"/>
      <w:r>
        <w:rPr>
          <w:rFonts w:ascii="Arial" w:hAnsi="Arial" w:cs="Arial"/>
          <w:bCs/>
          <w:sz w:val="18"/>
          <w:szCs w:val="18"/>
        </w:rPr>
        <w:t xml:space="preserve">. 2006;33(12):2390-7. (13). Bizzaro N, Villalta D, </w:t>
      </w:r>
      <w:proofErr w:type="spellStart"/>
      <w:r>
        <w:rPr>
          <w:rFonts w:ascii="Arial" w:hAnsi="Arial" w:cs="Arial"/>
          <w:bCs/>
          <w:sz w:val="18"/>
          <w:szCs w:val="18"/>
        </w:rPr>
        <w:t>Tozzoli</w:t>
      </w:r>
      <w:proofErr w:type="spellEnd"/>
      <w:r>
        <w:rPr>
          <w:rFonts w:ascii="Arial" w:hAnsi="Arial" w:cs="Arial"/>
          <w:bCs/>
          <w:sz w:val="18"/>
          <w:szCs w:val="18"/>
        </w:rPr>
        <w:t xml:space="preserve"> R, et al. </w:t>
      </w:r>
      <w:proofErr w:type="spellStart"/>
      <w:r>
        <w:rPr>
          <w:rFonts w:ascii="Arial" w:hAnsi="Arial" w:cs="Arial"/>
          <w:bCs/>
          <w:sz w:val="18"/>
          <w:szCs w:val="18"/>
        </w:rPr>
        <w:t>Validazione</w:t>
      </w:r>
      <w:proofErr w:type="spellEnd"/>
      <w:r>
        <w:rPr>
          <w:rFonts w:ascii="Arial" w:hAnsi="Arial" w:cs="Arial"/>
          <w:bCs/>
          <w:sz w:val="18"/>
          <w:szCs w:val="18"/>
        </w:rPr>
        <w:t xml:space="preserve"> del primo Calibrator </w:t>
      </w:r>
      <w:proofErr w:type="spellStart"/>
      <w:r>
        <w:rPr>
          <w:rFonts w:ascii="Arial" w:hAnsi="Arial" w:cs="Arial"/>
          <w:bCs/>
          <w:sz w:val="18"/>
          <w:szCs w:val="18"/>
        </w:rPr>
        <w:t>internazionale</w:t>
      </w:r>
      <w:proofErr w:type="spellEnd"/>
      <w:r>
        <w:rPr>
          <w:rFonts w:ascii="Arial" w:hAnsi="Arial" w:cs="Arial"/>
          <w:bCs/>
          <w:sz w:val="18"/>
          <w:szCs w:val="18"/>
        </w:rPr>
        <w:t xml:space="preserve"> WHO per </w:t>
      </w:r>
      <w:proofErr w:type="spellStart"/>
      <w:r>
        <w:rPr>
          <w:rFonts w:ascii="Arial" w:hAnsi="Arial" w:cs="Arial"/>
          <w:bCs/>
          <w:sz w:val="18"/>
          <w:szCs w:val="18"/>
        </w:rPr>
        <w:t>gli</w:t>
      </w:r>
      <w:proofErr w:type="spellEnd"/>
      <w:r>
        <w:rPr>
          <w:rFonts w:ascii="Arial" w:hAnsi="Arial" w:cs="Arial"/>
          <w:bCs/>
          <w:sz w:val="18"/>
          <w:szCs w:val="18"/>
        </w:rPr>
        <w:t xml:space="preserve"> </w:t>
      </w:r>
      <w:proofErr w:type="spellStart"/>
      <w:r>
        <w:rPr>
          <w:rFonts w:ascii="Arial" w:hAnsi="Arial" w:cs="Arial"/>
          <w:bCs/>
          <w:sz w:val="18"/>
          <w:szCs w:val="18"/>
        </w:rPr>
        <w:t>anticorpi</w:t>
      </w:r>
      <w:proofErr w:type="spellEnd"/>
      <w:r>
        <w:rPr>
          <w:rFonts w:ascii="Arial" w:hAnsi="Arial" w:cs="Arial"/>
          <w:bCs/>
          <w:sz w:val="18"/>
          <w:szCs w:val="18"/>
        </w:rPr>
        <w:t xml:space="preserve"> anti-</w:t>
      </w:r>
      <w:proofErr w:type="spellStart"/>
      <w:r>
        <w:rPr>
          <w:rFonts w:ascii="Arial" w:hAnsi="Arial" w:cs="Arial"/>
          <w:bCs/>
          <w:sz w:val="18"/>
          <w:szCs w:val="18"/>
        </w:rPr>
        <w:t>Peptidi</w:t>
      </w:r>
      <w:proofErr w:type="spellEnd"/>
      <w:r>
        <w:rPr>
          <w:rFonts w:ascii="Arial" w:hAnsi="Arial" w:cs="Arial"/>
          <w:bCs/>
          <w:sz w:val="18"/>
          <w:szCs w:val="18"/>
        </w:rPr>
        <w:t xml:space="preserve"> </w:t>
      </w:r>
      <w:proofErr w:type="spellStart"/>
      <w:r>
        <w:rPr>
          <w:rFonts w:ascii="Arial" w:hAnsi="Arial" w:cs="Arial"/>
          <w:bCs/>
          <w:sz w:val="18"/>
          <w:szCs w:val="18"/>
        </w:rPr>
        <w:t>Citrullinati</w:t>
      </w:r>
      <w:proofErr w:type="spellEnd"/>
      <w:r>
        <w:rPr>
          <w:rFonts w:ascii="Arial" w:hAnsi="Arial" w:cs="Arial"/>
          <w:bCs/>
          <w:sz w:val="18"/>
          <w:szCs w:val="18"/>
        </w:rPr>
        <w:t xml:space="preserve"> RiMEL/</w:t>
      </w:r>
      <w:proofErr w:type="spellStart"/>
      <w:r>
        <w:rPr>
          <w:rFonts w:ascii="Arial" w:hAnsi="Arial" w:cs="Arial"/>
          <w:bCs/>
          <w:sz w:val="18"/>
          <w:szCs w:val="18"/>
        </w:rPr>
        <w:t>IJLaM</w:t>
      </w:r>
      <w:proofErr w:type="spellEnd"/>
      <w:r>
        <w:rPr>
          <w:rFonts w:ascii="Arial" w:hAnsi="Arial" w:cs="Arial"/>
          <w:bCs/>
          <w:sz w:val="18"/>
          <w:szCs w:val="18"/>
        </w:rPr>
        <w:t xml:space="preserve">   2008; 4(suppl): F23 – 203. (14). Kroot EJ, De Jong BA, Van Leeuwen MA, Swinkels H, Van den </w:t>
      </w:r>
      <w:proofErr w:type="spellStart"/>
      <w:r>
        <w:rPr>
          <w:rFonts w:ascii="Arial" w:hAnsi="Arial" w:cs="Arial"/>
          <w:bCs/>
          <w:sz w:val="18"/>
          <w:szCs w:val="18"/>
        </w:rPr>
        <w:t>Hoogen</w:t>
      </w:r>
      <w:proofErr w:type="spellEnd"/>
      <w:r>
        <w:rPr>
          <w:rFonts w:ascii="Arial" w:hAnsi="Arial" w:cs="Arial"/>
          <w:bCs/>
          <w:sz w:val="18"/>
          <w:szCs w:val="18"/>
        </w:rPr>
        <w:t xml:space="preserve"> </w:t>
      </w:r>
      <w:proofErr w:type="gramStart"/>
      <w:r>
        <w:rPr>
          <w:rFonts w:ascii="Arial" w:hAnsi="Arial" w:cs="Arial"/>
          <w:bCs/>
          <w:sz w:val="18"/>
          <w:szCs w:val="18"/>
        </w:rPr>
        <w:t>FH,  Van't</w:t>
      </w:r>
      <w:proofErr w:type="gramEnd"/>
      <w:r>
        <w:rPr>
          <w:rFonts w:ascii="Arial" w:hAnsi="Arial" w:cs="Arial"/>
          <w:bCs/>
          <w:sz w:val="18"/>
          <w:szCs w:val="18"/>
        </w:rPr>
        <w:t xml:space="preserve"> Hof M, et al. The prognostic value of anti-cyclic citrullinate peptide antibody in patients with recent-onset rheumatoid arthritis. Arthritis Rheum 2000; 43: 1831-5. (15). Data on file: Orchid Biomedical Systems (P) Ltd.</w:t>
      </w:r>
    </w:p>
    <w:p w14:paraId="6A559732" w14:textId="77777777" w:rsidR="00DB5F94" w:rsidRDefault="00DB5F94">
      <w:pPr>
        <w:tabs>
          <w:tab w:val="left" w:pos="142"/>
        </w:tabs>
        <w:jc w:val="both"/>
        <w:rPr>
          <w:rFonts w:ascii="Arial" w:hAnsi="Arial" w:cs="Arial"/>
          <w:bCs/>
          <w:sz w:val="18"/>
          <w:szCs w:val="18"/>
        </w:rPr>
      </w:pPr>
    </w:p>
    <w:p w14:paraId="709652EB" w14:textId="77777777" w:rsidR="00DB5F94" w:rsidRDefault="00DB5F94">
      <w:pPr>
        <w:tabs>
          <w:tab w:val="left" w:pos="142"/>
        </w:tabs>
        <w:jc w:val="both"/>
        <w:rPr>
          <w:rFonts w:ascii="Arial" w:hAnsi="Arial" w:cs="Arial"/>
          <w:bCs/>
          <w:sz w:val="18"/>
          <w:szCs w:val="18"/>
        </w:rPr>
      </w:pPr>
    </w:p>
    <w:p w14:paraId="51F807F1" w14:textId="77777777" w:rsidR="00DB5F94" w:rsidRDefault="00DB5F94">
      <w:pPr>
        <w:tabs>
          <w:tab w:val="left" w:pos="142"/>
        </w:tabs>
        <w:jc w:val="both"/>
        <w:rPr>
          <w:rFonts w:ascii="Arial" w:hAnsi="Arial" w:cs="Arial"/>
          <w:bCs/>
          <w:sz w:val="18"/>
          <w:szCs w:val="18"/>
        </w:rPr>
      </w:pPr>
    </w:p>
    <w:p w14:paraId="33558B15" w14:textId="77777777" w:rsidR="00DB5F94" w:rsidRDefault="00000000">
      <w:pPr>
        <w:tabs>
          <w:tab w:val="left" w:pos="360"/>
        </w:tabs>
        <w:jc w:val="center"/>
      </w:pPr>
      <w:r>
        <w:object w:dxaOrig="3795" w:dyaOrig="3210" w14:anchorId="3C3E6448">
          <v:shape id="_x0000_i1026" type="#_x0000_t75" style="width:190.15pt;height:160.35pt" o:ole="">
            <v:imagedata r:id="rId10" o:title=""/>
          </v:shape>
          <o:OLEObject Type="Embed" ProgID="CorelDraw.Graphic.23" ShapeID="_x0000_i1026" DrawAspect="Content" ObjectID="_1787472235" r:id="rId11"/>
        </w:object>
      </w:r>
    </w:p>
    <w:p w14:paraId="73C578FF" w14:textId="77777777" w:rsidR="00DB5F94" w:rsidRDefault="00DB5F94">
      <w:pPr>
        <w:tabs>
          <w:tab w:val="left" w:pos="360"/>
        </w:tabs>
        <w:jc w:val="center"/>
      </w:pPr>
    </w:p>
    <w:p w14:paraId="79BFBCB4" w14:textId="69FEDF98" w:rsidR="00DB5F94" w:rsidRDefault="00DB5F94">
      <w:pPr>
        <w:tabs>
          <w:tab w:val="left" w:pos="360"/>
        </w:tabs>
        <w:jc w:val="center"/>
      </w:pPr>
    </w:p>
    <w:p w14:paraId="4BB73F26" w14:textId="77777777" w:rsidR="00DB5F94" w:rsidRDefault="00DB5F94">
      <w:pPr>
        <w:tabs>
          <w:tab w:val="left" w:pos="360"/>
        </w:tabs>
        <w:jc w:val="center"/>
      </w:pPr>
    </w:p>
    <w:p w14:paraId="4FFE7516" w14:textId="77777777" w:rsidR="00DB5F94" w:rsidRDefault="00DB5F94">
      <w:pPr>
        <w:tabs>
          <w:tab w:val="left" w:pos="360"/>
        </w:tabs>
        <w:jc w:val="center"/>
      </w:pPr>
    </w:p>
    <w:p w14:paraId="6FDEB67D" w14:textId="77777777" w:rsidR="00DB5F94" w:rsidRDefault="00DB5F94">
      <w:pPr>
        <w:tabs>
          <w:tab w:val="left" w:pos="360"/>
        </w:tabs>
        <w:jc w:val="center"/>
      </w:pPr>
    </w:p>
    <w:p w14:paraId="4E0BD005" w14:textId="77777777" w:rsidR="00DB5F94" w:rsidRDefault="00DB5F94">
      <w:pPr>
        <w:tabs>
          <w:tab w:val="left" w:pos="360"/>
        </w:tabs>
        <w:jc w:val="center"/>
      </w:pPr>
    </w:p>
    <w:p w14:paraId="38EF6D4C" w14:textId="77777777" w:rsidR="00E36F39" w:rsidRDefault="00E36F39">
      <w:pPr>
        <w:tabs>
          <w:tab w:val="left" w:pos="360"/>
        </w:tabs>
        <w:jc w:val="center"/>
      </w:pPr>
    </w:p>
    <w:p w14:paraId="53D20995" w14:textId="77777777" w:rsidR="00E36F39" w:rsidRDefault="00E36F39">
      <w:pPr>
        <w:tabs>
          <w:tab w:val="left" w:pos="360"/>
        </w:tabs>
        <w:jc w:val="center"/>
      </w:pPr>
    </w:p>
    <w:p w14:paraId="474F449A" w14:textId="77777777" w:rsidR="00E36F39" w:rsidRDefault="00E36F39">
      <w:pPr>
        <w:tabs>
          <w:tab w:val="left" w:pos="360"/>
        </w:tabs>
        <w:jc w:val="center"/>
      </w:pPr>
    </w:p>
    <w:p w14:paraId="0AF60C46" w14:textId="77777777" w:rsidR="00E36F39" w:rsidRDefault="00E36F39">
      <w:pPr>
        <w:tabs>
          <w:tab w:val="left" w:pos="360"/>
        </w:tabs>
        <w:jc w:val="center"/>
      </w:pPr>
    </w:p>
    <w:p w14:paraId="18AADEC2" w14:textId="77777777" w:rsidR="00E36F39" w:rsidRDefault="00E36F39">
      <w:pPr>
        <w:tabs>
          <w:tab w:val="left" w:pos="360"/>
        </w:tabs>
        <w:jc w:val="center"/>
      </w:pPr>
    </w:p>
    <w:p w14:paraId="563F380E" w14:textId="77777777" w:rsidR="00E36F39" w:rsidRDefault="00E36F39">
      <w:pPr>
        <w:tabs>
          <w:tab w:val="left" w:pos="360"/>
        </w:tabs>
        <w:jc w:val="center"/>
      </w:pPr>
    </w:p>
    <w:p w14:paraId="57ACC7EB" w14:textId="77777777" w:rsidR="00E36F39" w:rsidRDefault="00E36F39">
      <w:pPr>
        <w:tabs>
          <w:tab w:val="left" w:pos="360"/>
        </w:tabs>
        <w:jc w:val="center"/>
      </w:pPr>
    </w:p>
    <w:p w14:paraId="7E08C540" w14:textId="77777777" w:rsidR="00E36F39" w:rsidRDefault="00E36F39">
      <w:pPr>
        <w:tabs>
          <w:tab w:val="left" w:pos="360"/>
        </w:tabs>
        <w:jc w:val="center"/>
      </w:pPr>
    </w:p>
    <w:p w14:paraId="342811E0" w14:textId="77777777" w:rsidR="00E36F39" w:rsidRDefault="00E36F39">
      <w:pPr>
        <w:tabs>
          <w:tab w:val="left" w:pos="360"/>
        </w:tabs>
        <w:jc w:val="center"/>
      </w:pPr>
    </w:p>
    <w:p w14:paraId="1291CD4A" w14:textId="77777777" w:rsidR="00E36F39" w:rsidRDefault="00E36F39">
      <w:pPr>
        <w:tabs>
          <w:tab w:val="left" w:pos="360"/>
        </w:tabs>
        <w:jc w:val="center"/>
      </w:pPr>
    </w:p>
    <w:p w14:paraId="27FB100A" w14:textId="77777777" w:rsidR="00E36F39" w:rsidRDefault="00E36F39">
      <w:pPr>
        <w:tabs>
          <w:tab w:val="left" w:pos="360"/>
        </w:tabs>
        <w:jc w:val="center"/>
      </w:pPr>
    </w:p>
    <w:p w14:paraId="3C2DBEA7" w14:textId="77777777" w:rsidR="00E36F39" w:rsidRDefault="00E36F39">
      <w:pPr>
        <w:tabs>
          <w:tab w:val="left" w:pos="360"/>
        </w:tabs>
        <w:jc w:val="center"/>
      </w:pPr>
    </w:p>
    <w:p w14:paraId="5BDA7759" w14:textId="77777777" w:rsidR="00E36F39" w:rsidRDefault="00E36F39">
      <w:pPr>
        <w:tabs>
          <w:tab w:val="left" w:pos="360"/>
        </w:tabs>
        <w:jc w:val="center"/>
      </w:pPr>
    </w:p>
    <w:p w14:paraId="0BAB5F89" w14:textId="77777777" w:rsidR="00E36F39" w:rsidRDefault="00E36F39">
      <w:pPr>
        <w:tabs>
          <w:tab w:val="left" w:pos="360"/>
        </w:tabs>
        <w:jc w:val="center"/>
      </w:pPr>
    </w:p>
    <w:p w14:paraId="739E53F0" w14:textId="77777777" w:rsidR="00E36F39" w:rsidRDefault="00E36F39">
      <w:pPr>
        <w:tabs>
          <w:tab w:val="left" w:pos="360"/>
        </w:tabs>
        <w:jc w:val="center"/>
      </w:pPr>
    </w:p>
    <w:p w14:paraId="54EF9910" w14:textId="77777777" w:rsidR="00E36F39" w:rsidRDefault="00E36F39">
      <w:pPr>
        <w:tabs>
          <w:tab w:val="left" w:pos="360"/>
        </w:tabs>
        <w:jc w:val="center"/>
      </w:pPr>
    </w:p>
    <w:p w14:paraId="6D7FC373" w14:textId="77777777" w:rsidR="00E36F39" w:rsidRDefault="00E36F39">
      <w:pPr>
        <w:tabs>
          <w:tab w:val="left" w:pos="360"/>
        </w:tabs>
        <w:jc w:val="center"/>
      </w:pPr>
    </w:p>
    <w:p w14:paraId="3A9E9FDC" w14:textId="77777777" w:rsidR="00E36F39" w:rsidRDefault="00E36F39">
      <w:pPr>
        <w:tabs>
          <w:tab w:val="left" w:pos="360"/>
        </w:tabs>
        <w:jc w:val="center"/>
      </w:pPr>
    </w:p>
    <w:p w14:paraId="0B04EB8A" w14:textId="77777777" w:rsidR="00E36F39" w:rsidRDefault="00E36F39">
      <w:pPr>
        <w:tabs>
          <w:tab w:val="left" w:pos="360"/>
        </w:tabs>
        <w:jc w:val="center"/>
      </w:pPr>
    </w:p>
    <w:p w14:paraId="0B028FF2" w14:textId="77777777" w:rsidR="00E36F39" w:rsidRDefault="00E36F39">
      <w:pPr>
        <w:tabs>
          <w:tab w:val="left" w:pos="360"/>
        </w:tabs>
        <w:jc w:val="center"/>
      </w:pPr>
    </w:p>
    <w:p w14:paraId="7C863494" w14:textId="77777777" w:rsidR="00E36F39" w:rsidRDefault="00E36F39">
      <w:pPr>
        <w:tabs>
          <w:tab w:val="left" w:pos="360"/>
        </w:tabs>
        <w:jc w:val="center"/>
      </w:pPr>
    </w:p>
    <w:p w14:paraId="56AC1A5B" w14:textId="77777777" w:rsidR="00E36F39" w:rsidRDefault="00E36F39">
      <w:pPr>
        <w:tabs>
          <w:tab w:val="left" w:pos="360"/>
        </w:tabs>
        <w:jc w:val="center"/>
      </w:pPr>
    </w:p>
    <w:p w14:paraId="6554D60B" w14:textId="77777777" w:rsidR="00E36F39" w:rsidRDefault="00E36F39">
      <w:pPr>
        <w:tabs>
          <w:tab w:val="left" w:pos="360"/>
        </w:tabs>
        <w:jc w:val="center"/>
      </w:pPr>
    </w:p>
    <w:p w14:paraId="73F8D47C" w14:textId="77777777" w:rsidR="00E36F39" w:rsidRDefault="00E36F39">
      <w:pPr>
        <w:tabs>
          <w:tab w:val="left" w:pos="360"/>
        </w:tabs>
        <w:jc w:val="center"/>
      </w:pPr>
    </w:p>
    <w:p w14:paraId="1539AD5F" w14:textId="77777777" w:rsidR="00E36F39" w:rsidRDefault="00E36F39">
      <w:pPr>
        <w:tabs>
          <w:tab w:val="left" w:pos="360"/>
        </w:tabs>
        <w:jc w:val="center"/>
      </w:pPr>
    </w:p>
    <w:p w14:paraId="48E41C23" w14:textId="77777777" w:rsidR="00E36F39" w:rsidRDefault="00E36F39">
      <w:pPr>
        <w:tabs>
          <w:tab w:val="left" w:pos="360"/>
        </w:tabs>
        <w:jc w:val="center"/>
      </w:pPr>
    </w:p>
    <w:p w14:paraId="29555E63" w14:textId="77777777" w:rsidR="00E36F39" w:rsidRDefault="00E36F39">
      <w:pPr>
        <w:tabs>
          <w:tab w:val="left" w:pos="360"/>
        </w:tabs>
        <w:jc w:val="center"/>
      </w:pPr>
    </w:p>
    <w:p w14:paraId="2A8A6990" w14:textId="77777777" w:rsidR="00E36F39" w:rsidRDefault="00E36F39">
      <w:pPr>
        <w:tabs>
          <w:tab w:val="left" w:pos="360"/>
        </w:tabs>
        <w:jc w:val="center"/>
      </w:pPr>
    </w:p>
    <w:p w14:paraId="7FEC12E8" w14:textId="77777777" w:rsidR="00E36F39" w:rsidRDefault="00E36F39">
      <w:pPr>
        <w:tabs>
          <w:tab w:val="left" w:pos="360"/>
        </w:tabs>
        <w:jc w:val="center"/>
      </w:pPr>
    </w:p>
    <w:p w14:paraId="38869031" w14:textId="77777777" w:rsidR="00E36F39" w:rsidRDefault="00E36F39">
      <w:pPr>
        <w:tabs>
          <w:tab w:val="left" w:pos="360"/>
        </w:tabs>
        <w:jc w:val="center"/>
      </w:pPr>
    </w:p>
    <w:p w14:paraId="1C590F80" w14:textId="77777777" w:rsidR="00E36F39" w:rsidRDefault="00E36F39">
      <w:pPr>
        <w:tabs>
          <w:tab w:val="left" w:pos="360"/>
        </w:tabs>
        <w:jc w:val="center"/>
      </w:pPr>
    </w:p>
    <w:p w14:paraId="668B5134" w14:textId="77777777" w:rsidR="00E36F39" w:rsidRDefault="00E36F39">
      <w:pPr>
        <w:tabs>
          <w:tab w:val="left" w:pos="360"/>
        </w:tabs>
        <w:jc w:val="center"/>
      </w:pPr>
    </w:p>
    <w:p w14:paraId="510A4F44" w14:textId="77777777" w:rsidR="00E36F39" w:rsidRDefault="00E36F39">
      <w:pPr>
        <w:tabs>
          <w:tab w:val="left" w:pos="360"/>
        </w:tabs>
        <w:jc w:val="center"/>
      </w:pPr>
    </w:p>
    <w:p w14:paraId="0DEB5DB6" w14:textId="77777777" w:rsidR="00E36F39" w:rsidRDefault="00E36F39">
      <w:pPr>
        <w:tabs>
          <w:tab w:val="left" w:pos="360"/>
        </w:tabs>
        <w:jc w:val="center"/>
      </w:pPr>
    </w:p>
    <w:p w14:paraId="7EDFD2AF" w14:textId="77777777" w:rsidR="00E36F39" w:rsidRDefault="00E36F39">
      <w:pPr>
        <w:tabs>
          <w:tab w:val="left" w:pos="360"/>
        </w:tabs>
        <w:jc w:val="center"/>
      </w:pPr>
    </w:p>
    <w:p w14:paraId="5607CB35" w14:textId="77777777" w:rsidR="00E36F39" w:rsidRDefault="00E36F39">
      <w:pPr>
        <w:tabs>
          <w:tab w:val="left" w:pos="360"/>
        </w:tabs>
        <w:jc w:val="center"/>
      </w:pPr>
    </w:p>
    <w:p w14:paraId="4A8C8314" w14:textId="77777777" w:rsidR="00E36F39" w:rsidRDefault="00E36F39">
      <w:pPr>
        <w:tabs>
          <w:tab w:val="left" w:pos="360"/>
        </w:tabs>
        <w:jc w:val="center"/>
      </w:pPr>
    </w:p>
    <w:p w14:paraId="4D883CAB" w14:textId="77777777" w:rsidR="00E36F39" w:rsidRDefault="00E36F39">
      <w:pPr>
        <w:tabs>
          <w:tab w:val="left" w:pos="360"/>
        </w:tabs>
        <w:jc w:val="center"/>
      </w:pPr>
    </w:p>
    <w:p w14:paraId="66873E7C" w14:textId="77777777" w:rsidR="00E36F39" w:rsidRDefault="00E36F39">
      <w:pPr>
        <w:tabs>
          <w:tab w:val="left" w:pos="360"/>
        </w:tabs>
        <w:jc w:val="center"/>
      </w:pPr>
    </w:p>
    <w:p w14:paraId="3EEE4B94" w14:textId="77777777" w:rsidR="00E36F39" w:rsidRDefault="00E36F39">
      <w:pPr>
        <w:tabs>
          <w:tab w:val="left" w:pos="360"/>
        </w:tabs>
        <w:jc w:val="center"/>
      </w:pPr>
    </w:p>
    <w:p w14:paraId="7736E4C5" w14:textId="77777777" w:rsidR="00E36F39" w:rsidRDefault="00E36F39">
      <w:pPr>
        <w:tabs>
          <w:tab w:val="left" w:pos="360"/>
        </w:tabs>
        <w:jc w:val="center"/>
      </w:pPr>
    </w:p>
    <w:p w14:paraId="022A15F6" w14:textId="77777777" w:rsidR="00E36F39" w:rsidRDefault="00E36F39">
      <w:pPr>
        <w:tabs>
          <w:tab w:val="left" w:pos="360"/>
        </w:tabs>
        <w:jc w:val="center"/>
      </w:pPr>
    </w:p>
    <w:p w14:paraId="45B86D0D" w14:textId="77777777" w:rsidR="00E36F39" w:rsidRDefault="00E36F39">
      <w:pPr>
        <w:tabs>
          <w:tab w:val="left" w:pos="360"/>
        </w:tabs>
        <w:jc w:val="center"/>
      </w:pPr>
    </w:p>
    <w:p w14:paraId="36FBC2BB" w14:textId="77777777" w:rsidR="00E36F39" w:rsidRDefault="00E36F39">
      <w:pPr>
        <w:tabs>
          <w:tab w:val="left" w:pos="360"/>
        </w:tabs>
        <w:jc w:val="center"/>
      </w:pPr>
    </w:p>
    <w:p w14:paraId="51FD12DC" w14:textId="77777777" w:rsidR="00E36F39" w:rsidRDefault="00E36F39">
      <w:pPr>
        <w:tabs>
          <w:tab w:val="left" w:pos="360"/>
        </w:tabs>
        <w:jc w:val="center"/>
      </w:pPr>
    </w:p>
    <w:p w14:paraId="6CFD0C0F" w14:textId="77777777" w:rsidR="00E36F39" w:rsidRDefault="00E36F39">
      <w:pPr>
        <w:tabs>
          <w:tab w:val="left" w:pos="360"/>
        </w:tabs>
        <w:jc w:val="center"/>
      </w:pPr>
    </w:p>
    <w:p w14:paraId="0A8BB351" w14:textId="77777777" w:rsidR="00E36F39" w:rsidRDefault="00E36F39">
      <w:pPr>
        <w:tabs>
          <w:tab w:val="left" w:pos="360"/>
        </w:tabs>
        <w:jc w:val="center"/>
      </w:pPr>
    </w:p>
    <w:p w14:paraId="1B1D551A" w14:textId="77777777" w:rsidR="00E36F39" w:rsidRDefault="00E36F39">
      <w:pPr>
        <w:tabs>
          <w:tab w:val="left" w:pos="360"/>
        </w:tabs>
        <w:jc w:val="center"/>
      </w:pPr>
    </w:p>
    <w:p w14:paraId="44117E96" w14:textId="77777777" w:rsidR="00E36F39" w:rsidRDefault="00E36F39">
      <w:pPr>
        <w:tabs>
          <w:tab w:val="left" w:pos="360"/>
        </w:tabs>
        <w:jc w:val="center"/>
      </w:pPr>
    </w:p>
    <w:p w14:paraId="140C1656" w14:textId="77777777" w:rsidR="00E36F39" w:rsidRDefault="00E36F39">
      <w:pPr>
        <w:tabs>
          <w:tab w:val="left" w:pos="360"/>
        </w:tabs>
        <w:jc w:val="center"/>
      </w:pPr>
    </w:p>
    <w:p w14:paraId="5658C726" w14:textId="77777777" w:rsidR="00E36F39" w:rsidRDefault="00E36F39">
      <w:pPr>
        <w:tabs>
          <w:tab w:val="left" w:pos="360"/>
        </w:tabs>
        <w:jc w:val="center"/>
      </w:pPr>
    </w:p>
    <w:p w14:paraId="02B5B783" w14:textId="77777777" w:rsidR="00E36F39" w:rsidRDefault="00E36F39">
      <w:pPr>
        <w:tabs>
          <w:tab w:val="left" w:pos="360"/>
        </w:tabs>
        <w:jc w:val="center"/>
      </w:pPr>
    </w:p>
    <w:p w14:paraId="2B5E7A5B" w14:textId="77777777" w:rsidR="00E36F39" w:rsidRDefault="00E36F39">
      <w:pPr>
        <w:tabs>
          <w:tab w:val="left" w:pos="360"/>
        </w:tabs>
        <w:jc w:val="center"/>
      </w:pPr>
    </w:p>
    <w:p w14:paraId="344863CF" w14:textId="77777777" w:rsidR="00E36F39" w:rsidRDefault="00E36F39">
      <w:pPr>
        <w:tabs>
          <w:tab w:val="left" w:pos="360"/>
        </w:tabs>
        <w:jc w:val="center"/>
      </w:pPr>
    </w:p>
    <w:p w14:paraId="58330D3C" w14:textId="77777777" w:rsidR="00E36F39" w:rsidRDefault="00E36F39">
      <w:pPr>
        <w:tabs>
          <w:tab w:val="left" w:pos="360"/>
        </w:tabs>
        <w:jc w:val="center"/>
      </w:pPr>
    </w:p>
    <w:p w14:paraId="55393D0A" w14:textId="77777777" w:rsidR="00E36F39" w:rsidRDefault="00E36F39">
      <w:pPr>
        <w:tabs>
          <w:tab w:val="left" w:pos="360"/>
        </w:tabs>
        <w:jc w:val="center"/>
      </w:pPr>
    </w:p>
    <w:p w14:paraId="4076A2C4" w14:textId="77777777" w:rsidR="00E36F39" w:rsidRDefault="00E36F39">
      <w:pPr>
        <w:tabs>
          <w:tab w:val="left" w:pos="360"/>
        </w:tabs>
        <w:jc w:val="center"/>
      </w:pPr>
    </w:p>
    <w:p w14:paraId="4E66A0FF" w14:textId="77777777" w:rsidR="00E36F39" w:rsidRDefault="00E36F39">
      <w:pPr>
        <w:tabs>
          <w:tab w:val="left" w:pos="360"/>
        </w:tabs>
        <w:jc w:val="center"/>
      </w:pPr>
    </w:p>
    <w:p w14:paraId="434C8F2A" w14:textId="77777777" w:rsidR="00E36F39" w:rsidRDefault="00E36F39">
      <w:pPr>
        <w:tabs>
          <w:tab w:val="left" w:pos="360"/>
        </w:tabs>
        <w:jc w:val="center"/>
      </w:pPr>
    </w:p>
    <w:p w14:paraId="57D5F5DF" w14:textId="77777777" w:rsidR="00E36F39" w:rsidRDefault="00E36F39">
      <w:pPr>
        <w:tabs>
          <w:tab w:val="left" w:pos="360"/>
        </w:tabs>
        <w:jc w:val="center"/>
      </w:pPr>
    </w:p>
    <w:p w14:paraId="12B2F9B2" w14:textId="77777777" w:rsidR="00E36F39" w:rsidRDefault="00E36F39">
      <w:pPr>
        <w:tabs>
          <w:tab w:val="left" w:pos="360"/>
        </w:tabs>
        <w:jc w:val="center"/>
      </w:pPr>
    </w:p>
    <w:p w14:paraId="694DC87D" w14:textId="77777777" w:rsidR="00E36F39" w:rsidRDefault="00E36F39">
      <w:pPr>
        <w:tabs>
          <w:tab w:val="left" w:pos="360"/>
        </w:tabs>
        <w:jc w:val="center"/>
      </w:pPr>
    </w:p>
    <w:p w14:paraId="7A337D3A" w14:textId="77777777" w:rsidR="00E36F39" w:rsidRDefault="00E36F39">
      <w:pPr>
        <w:tabs>
          <w:tab w:val="left" w:pos="360"/>
        </w:tabs>
        <w:jc w:val="center"/>
      </w:pPr>
    </w:p>
    <w:p w14:paraId="61CF8E5E" w14:textId="77777777" w:rsidR="00E36F39" w:rsidRDefault="00E36F39">
      <w:pPr>
        <w:tabs>
          <w:tab w:val="left" w:pos="360"/>
        </w:tabs>
        <w:jc w:val="center"/>
      </w:pPr>
    </w:p>
    <w:p w14:paraId="6DFCE42C" w14:textId="77777777" w:rsidR="00E36F39" w:rsidRDefault="00E36F39">
      <w:pPr>
        <w:tabs>
          <w:tab w:val="left" w:pos="360"/>
        </w:tabs>
        <w:jc w:val="center"/>
      </w:pPr>
    </w:p>
    <w:p w14:paraId="05B0BEAC" w14:textId="77777777" w:rsidR="00E36F39" w:rsidRDefault="00E36F39">
      <w:pPr>
        <w:tabs>
          <w:tab w:val="left" w:pos="360"/>
        </w:tabs>
        <w:jc w:val="center"/>
      </w:pPr>
    </w:p>
    <w:p w14:paraId="62AE833D" w14:textId="77777777" w:rsidR="00E36F39" w:rsidRDefault="00E36F39">
      <w:pPr>
        <w:tabs>
          <w:tab w:val="left" w:pos="360"/>
        </w:tabs>
        <w:jc w:val="center"/>
      </w:pPr>
    </w:p>
    <w:p w14:paraId="460F4070" w14:textId="77777777" w:rsidR="00E36F39" w:rsidRDefault="00E36F39">
      <w:pPr>
        <w:tabs>
          <w:tab w:val="left" w:pos="360"/>
        </w:tabs>
        <w:jc w:val="center"/>
      </w:pPr>
    </w:p>
    <w:p w14:paraId="5E415130" w14:textId="77777777" w:rsidR="00E36F39" w:rsidRDefault="00E36F39">
      <w:pPr>
        <w:tabs>
          <w:tab w:val="left" w:pos="360"/>
        </w:tabs>
        <w:jc w:val="center"/>
      </w:pPr>
    </w:p>
    <w:p w14:paraId="180DBFD1" w14:textId="77777777" w:rsidR="00E36F39" w:rsidRDefault="00E36F39">
      <w:pPr>
        <w:tabs>
          <w:tab w:val="left" w:pos="360"/>
        </w:tabs>
        <w:jc w:val="center"/>
      </w:pPr>
    </w:p>
    <w:p w14:paraId="0D0AA491" w14:textId="77777777" w:rsidR="00E36F39" w:rsidRDefault="00E36F39">
      <w:pPr>
        <w:tabs>
          <w:tab w:val="left" w:pos="360"/>
        </w:tabs>
        <w:jc w:val="center"/>
      </w:pPr>
    </w:p>
    <w:p w14:paraId="08A7B4B6" w14:textId="77777777" w:rsidR="00E36F39" w:rsidRDefault="00E36F39">
      <w:pPr>
        <w:tabs>
          <w:tab w:val="left" w:pos="360"/>
        </w:tabs>
        <w:jc w:val="center"/>
      </w:pPr>
    </w:p>
    <w:p w14:paraId="519C45F5" w14:textId="77777777" w:rsidR="00E36F39" w:rsidRDefault="00E36F39">
      <w:pPr>
        <w:tabs>
          <w:tab w:val="left" w:pos="360"/>
        </w:tabs>
        <w:jc w:val="center"/>
      </w:pPr>
    </w:p>
    <w:p w14:paraId="43F57B5E" w14:textId="77777777" w:rsidR="00E36F39" w:rsidRDefault="00E36F39">
      <w:pPr>
        <w:tabs>
          <w:tab w:val="left" w:pos="360"/>
        </w:tabs>
        <w:jc w:val="center"/>
      </w:pPr>
    </w:p>
    <w:p w14:paraId="4EE2AE84" w14:textId="77777777" w:rsidR="00E36F39" w:rsidRDefault="00E36F39">
      <w:pPr>
        <w:tabs>
          <w:tab w:val="left" w:pos="360"/>
        </w:tabs>
        <w:jc w:val="center"/>
      </w:pPr>
    </w:p>
    <w:p w14:paraId="68CFAA43" w14:textId="77777777" w:rsidR="00E36F39" w:rsidRDefault="00E36F39">
      <w:pPr>
        <w:tabs>
          <w:tab w:val="left" w:pos="360"/>
        </w:tabs>
        <w:jc w:val="center"/>
      </w:pPr>
    </w:p>
    <w:p w14:paraId="4E76CE95" w14:textId="77777777" w:rsidR="00E36F39" w:rsidRDefault="00E36F39">
      <w:pPr>
        <w:tabs>
          <w:tab w:val="left" w:pos="360"/>
        </w:tabs>
        <w:jc w:val="center"/>
      </w:pPr>
    </w:p>
    <w:p w14:paraId="34BFD5DA" w14:textId="77777777" w:rsidR="00E36F39" w:rsidRDefault="00E36F39">
      <w:pPr>
        <w:tabs>
          <w:tab w:val="left" w:pos="360"/>
        </w:tabs>
        <w:jc w:val="center"/>
      </w:pPr>
    </w:p>
    <w:p w14:paraId="33684B1B" w14:textId="77777777" w:rsidR="00E36F39" w:rsidRDefault="00E36F39">
      <w:pPr>
        <w:tabs>
          <w:tab w:val="left" w:pos="360"/>
        </w:tabs>
        <w:jc w:val="center"/>
      </w:pPr>
    </w:p>
    <w:p w14:paraId="40A04779" w14:textId="77777777" w:rsidR="00E36F39" w:rsidRDefault="00E36F39">
      <w:pPr>
        <w:tabs>
          <w:tab w:val="left" w:pos="360"/>
        </w:tabs>
        <w:jc w:val="center"/>
      </w:pPr>
    </w:p>
    <w:p w14:paraId="18DA7E54" w14:textId="77777777" w:rsidR="00E36F39" w:rsidRDefault="00E36F39">
      <w:pPr>
        <w:tabs>
          <w:tab w:val="left" w:pos="360"/>
        </w:tabs>
        <w:jc w:val="center"/>
      </w:pPr>
    </w:p>
    <w:p w14:paraId="0B2419EB" w14:textId="77777777" w:rsidR="00E36F39" w:rsidRDefault="00E36F39">
      <w:pPr>
        <w:tabs>
          <w:tab w:val="left" w:pos="360"/>
        </w:tabs>
        <w:jc w:val="center"/>
      </w:pPr>
    </w:p>
    <w:p w14:paraId="283475F1" w14:textId="77777777" w:rsidR="00E36F39" w:rsidRDefault="00E36F39">
      <w:pPr>
        <w:tabs>
          <w:tab w:val="left" w:pos="360"/>
        </w:tabs>
        <w:jc w:val="center"/>
      </w:pPr>
    </w:p>
    <w:p w14:paraId="36383E56" w14:textId="77777777" w:rsidR="00DB5F94" w:rsidRDefault="00DB5F94">
      <w:pPr>
        <w:tabs>
          <w:tab w:val="left" w:pos="360"/>
        </w:tabs>
        <w:jc w:val="center"/>
      </w:pPr>
    </w:p>
    <w:p w14:paraId="26BC4003" w14:textId="77777777" w:rsidR="00DB5F94" w:rsidRDefault="00DB5F94">
      <w:pPr>
        <w:tabs>
          <w:tab w:val="left" w:pos="360"/>
        </w:tabs>
        <w:jc w:val="both"/>
      </w:pPr>
    </w:p>
    <w:p w14:paraId="1EF0739B" w14:textId="77777777" w:rsidR="00DB5F94" w:rsidRDefault="00DB5F94">
      <w:pPr>
        <w:tabs>
          <w:tab w:val="left" w:pos="360"/>
        </w:tabs>
        <w:jc w:val="center"/>
      </w:pPr>
    </w:p>
    <w:p w14:paraId="098FC3D9" w14:textId="77777777" w:rsidR="00DB5F94" w:rsidRDefault="00DB5F94">
      <w:pPr>
        <w:tabs>
          <w:tab w:val="left" w:pos="360"/>
        </w:tabs>
        <w:jc w:val="center"/>
      </w:pPr>
    </w:p>
    <w:p w14:paraId="6B591AB2" w14:textId="77777777" w:rsidR="00DB5F94" w:rsidRDefault="00DB5F94">
      <w:pPr>
        <w:tabs>
          <w:tab w:val="left" w:pos="360"/>
        </w:tabs>
        <w:jc w:val="center"/>
      </w:pPr>
    </w:p>
    <w:p w14:paraId="546207B6" w14:textId="112F49DF" w:rsidR="00DB5F94" w:rsidRDefault="00000000">
      <w:pPr>
        <w:tabs>
          <w:tab w:val="left" w:pos="360"/>
        </w:tabs>
        <w:jc w:val="center"/>
      </w:pPr>
      <w:r>
        <w:object w:dxaOrig="3840" w:dyaOrig="1110" w14:anchorId="4099FBBE">
          <v:shape id="_x0000_i1027" type="#_x0000_t75" style="width:192pt;height:55.7pt" o:ole="">
            <v:imagedata r:id="rId12" o:title=""/>
          </v:shape>
          <o:OLEObject Type="Embed" ProgID="CorelDraw.Graphic.23" ShapeID="_x0000_i1027" DrawAspect="Content" ObjectID="_1787472236" r:id="rId13"/>
        </w:object>
      </w:r>
    </w:p>
    <w:p w14:paraId="4FCEC46E" w14:textId="77777777" w:rsidR="00DB5F94" w:rsidRDefault="00DB5F94">
      <w:pPr>
        <w:tabs>
          <w:tab w:val="left" w:pos="360"/>
        </w:tabs>
        <w:jc w:val="center"/>
      </w:pPr>
    </w:p>
    <w:p w14:paraId="4A529EB4" w14:textId="77777777" w:rsidR="00DB5F94" w:rsidRDefault="00DB5F94">
      <w:pPr>
        <w:tabs>
          <w:tab w:val="left" w:pos="360"/>
        </w:tabs>
        <w:jc w:val="center"/>
      </w:pPr>
    </w:p>
    <w:sectPr w:rsidR="00DB5F94">
      <w:headerReference w:type="even" r:id="rId14"/>
      <w:headerReference w:type="default" r:id="rId15"/>
      <w:footerReference w:type="even" r:id="rId16"/>
      <w:footerReference w:type="default" r:id="rId17"/>
      <w:headerReference w:type="first" r:id="rId18"/>
      <w:footerReference w:type="first" r:id="rId19"/>
      <w:pgSz w:w="15840" w:h="12240" w:orient="landscape"/>
      <w:pgMar w:top="864" w:right="720" w:bottom="864" w:left="720" w:header="432" w:footer="432" w:gutter="0"/>
      <w:cols w:num="3" w:space="720" w:equalWidth="0">
        <w:col w:w="4560" w:space="720"/>
        <w:col w:w="3840" w:space="720"/>
        <w:col w:w="45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914D22" w14:textId="77777777" w:rsidR="00A449DE" w:rsidRDefault="00A449DE">
      <w:r>
        <w:separator/>
      </w:r>
    </w:p>
  </w:endnote>
  <w:endnote w:type="continuationSeparator" w:id="0">
    <w:p w14:paraId="27BEC7A4" w14:textId="77777777" w:rsidR="00A449DE" w:rsidRDefault="00A449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altName w:val="Segoe Print"/>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2405F5" w14:textId="77777777" w:rsidR="00DB5F94" w:rsidRDefault="00DB5F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5C4F16" w14:textId="77777777" w:rsidR="00DB5F94" w:rsidRDefault="00000000">
    <w:pPr>
      <w:pStyle w:val="Footer"/>
      <w:jc w:val="center"/>
    </w:pPr>
    <w:r>
      <w:t xml:space="preserve">Page </w:t>
    </w:r>
    <w:r>
      <w:fldChar w:fldCharType="begin"/>
    </w:r>
    <w:r>
      <w:instrText>PAGE</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C306E0" w14:textId="77777777" w:rsidR="00DB5F94" w:rsidRDefault="00DB5F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5E755E" w14:textId="77777777" w:rsidR="00A449DE" w:rsidRDefault="00A449DE">
      <w:r>
        <w:separator/>
      </w:r>
    </w:p>
  </w:footnote>
  <w:footnote w:type="continuationSeparator" w:id="0">
    <w:p w14:paraId="2CB6317A" w14:textId="77777777" w:rsidR="00A449DE" w:rsidRDefault="00A449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B01EA7" w14:textId="77777777" w:rsidR="00DB5F94" w:rsidRDefault="00DB5F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C2F396" w14:textId="77777777" w:rsidR="00DB5F94" w:rsidRDefault="00DB5F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4B11A7" w14:textId="77777777" w:rsidR="00DB5F94" w:rsidRDefault="00DB5F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320D74"/>
    <w:multiLevelType w:val="multilevel"/>
    <w:tmpl w:val="05320D74"/>
    <w:lvl w:ilvl="0">
      <w:start w:val="1"/>
      <w:numFmt w:val="bullet"/>
      <w:lvlText w:val=""/>
      <w:lvlJc w:val="left"/>
      <w:pPr>
        <w:ind w:left="855" w:hanging="360"/>
      </w:pPr>
      <w:rPr>
        <w:rFonts w:ascii="Symbol" w:hAnsi="Symbol" w:hint="default"/>
      </w:rPr>
    </w:lvl>
    <w:lvl w:ilvl="1">
      <w:start w:val="1"/>
      <w:numFmt w:val="bullet"/>
      <w:lvlText w:val="o"/>
      <w:lvlJc w:val="left"/>
      <w:pPr>
        <w:ind w:left="1575" w:hanging="360"/>
      </w:pPr>
      <w:rPr>
        <w:rFonts w:ascii="Courier New" w:hAnsi="Courier New" w:cs="Courier New" w:hint="default"/>
      </w:rPr>
    </w:lvl>
    <w:lvl w:ilvl="2">
      <w:start w:val="1"/>
      <w:numFmt w:val="bullet"/>
      <w:lvlText w:val=""/>
      <w:lvlJc w:val="left"/>
      <w:pPr>
        <w:ind w:left="2295" w:hanging="360"/>
      </w:pPr>
      <w:rPr>
        <w:rFonts w:ascii="Wingdings" w:hAnsi="Wingdings" w:hint="default"/>
      </w:rPr>
    </w:lvl>
    <w:lvl w:ilvl="3">
      <w:start w:val="1"/>
      <w:numFmt w:val="bullet"/>
      <w:lvlText w:val=""/>
      <w:lvlJc w:val="left"/>
      <w:pPr>
        <w:ind w:left="3015" w:hanging="360"/>
      </w:pPr>
      <w:rPr>
        <w:rFonts w:ascii="Symbol" w:hAnsi="Symbol" w:hint="default"/>
      </w:rPr>
    </w:lvl>
    <w:lvl w:ilvl="4">
      <w:start w:val="1"/>
      <w:numFmt w:val="bullet"/>
      <w:lvlText w:val="o"/>
      <w:lvlJc w:val="left"/>
      <w:pPr>
        <w:ind w:left="3735" w:hanging="360"/>
      </w:pPr>
      <w:rPr>
        <w:rFonts w:ascii="Courier New" w:hAnsi="Courier New" w:cs="Courier New" w:hint="default"/>
      </w:rPr>
    </w:lvl>
    <w:lvl w:ilvl="5">
      <w:start w:val="1"/>
      <w:numFmt w:val="bullet"/>
      <w:lvlText w:val=""/>
      <w:lvlJc w:val="left"/>
      <w:pPr>
        <w:ind w:left="4455" w:hanging="360"/>
      </w:pPr>
      <w:rPr>
        <w:rFonts w:ascii="Wingdings" w:hAnsi="Wingdings" w:hint="default"/>
      </w:rPr>
    </w:lvl>
    <w:lvl w:ilvl="6">
      <w:start w:val="1"/>
      <w:numFmt w:val="bullet"/>
      <w:lvlText w:val=""/>
      <w:lvlJc w:val="left"/>
      <w:pPr>
        <w:ind w:left="5175" w:hanging="360"/>
      </w:pPr>
      <w:rPr>
        <w:rFonts w:ascii="Symbol" w:hAnsi="Symbol" w:hint="default"/>
      </w:rPr>
    </w:lvl>
    <w:lvl w:ilvl="7">
      <w:start w:val="1"/>
      <w:numFmt w:val="bullet"/>
      <w:lvlText w:val="o"/>
      <w:lvlJc w:val="left"/>
      <w:pPr>
        <w:ind w:left="5895" w:hanging="360"/>
      </w:pPr>
      <w:rPr>
        <w:rFonts w:ascii="Courier New" w:hAnsi="Courier New" w:cs="Courier New" w:hint="default"/>
      </w:rPr>
    </w:lvl>
    <w:lvl w:ilvl="8">
      <w:start w:val="1"/>
      <w:numFmt w:val="bullet"/>
      <w:lvlText w:val=""/>
      <w:lvlJc w:val="left"/>
      <w:pPr>
        <w:ind w:left="6615" w:hanging="360"/>
      </w:pPr>
      <w:rPr>
        <w:rFonts w:ascii="Wingdings" w:hAnsi="Wingdings" w:hint="default"/>
      </w:rPr>
    </w:lvl>
  </w:abstractNum>
  <w:abstractNum w:abstractNumId="1" w15:restartNumberingAfterBreak="0">
    <w:nsid w:val="1A9C1182"/>
    <w:multiLevelType w:val="multilevel"/>
    <w:tmpl w:val="1A9C118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0CB51F1"/>
    <w:multiLevelType w:val="multilevel"/>
    <w:tmpl w:val="20CB51F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17405A7"/>
    <w:multiLevelType w:val="hybridMultilevel"/>
    <w:tmpl w:val="00FE79F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27FC191D"/>
    <w:multiLevelType w:val="multilevel"/>
    <w:tmpl w:val="27FC191D"/>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B9A0C15"/>
    <w:multiLevelType w:val="multilevel"/>
    <w:tmpl w:val="4B9A0C15"/>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E236D89"/>
    <w:multiLevelType w:val="multilevel"/>
    <w:tmpl w:val="4E236D8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6BE57584"/>
    <w:multiLevelType w:val="multilevel"/>
    <w:tmpl w:val="6BE5758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8" w15:restartNumberingAfterBreak="0">
    <w:nsid w:val="7B4B4970"/>
    <w:multiLevelType w:val="multilevel"/>
    <w:tmpl w:val="7B4B497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7E4F0003"/>
    <w:multiLevelType w:val="multilevel"/>
    <w:tmpl w:val="7E4F0003"/>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7FAA6ABA"/>
    <w:multiLevelType w:val="multilevel"/>
    <w:tmpl w:val="7FAA6AB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123232904">
    <w:abstractNumId w:val="7"/>
  </w:num>
  <w:num w:numId="2" w16cid:durableId="51927835">
    <w:abstractNumId w:val="4"/>
  </w:num>
  <w:num w:numId="3" w16cid:durableId="389113972">
    <w:abstractNumId w:val="5"/>
  </w:num>
  <w:num w:numId="4" w16cid:durableId="264701044">
    <w:abstractNumId w:val="10"/>
  </w:num>
  <w:num w:numId="5" w16cid:durableId="1239826618">
    <w:abstractNumId w:val="1"/>
  </w:num>
  <w:num w:numId="6" w16cid:durableId="1957246963">
    <w:abstractNumId w:val="9"/>
  </w:num>
  <w:num w:numId="7" w16cid:durableId="1706522215">
    <w:abstractNumId w:val="0"/>
  </w:num>
  <w:num w:numId="8" w16cid:durableId="274675420">
    <w:abstractNumId w:val="8"/>
  </w:num>
  <w:num w:numId="9" w16cid:durableId="1255624176">
    <w:abstractNumId w:val="2"/>
  </w:num>
  <w:num w:numId="10" w16cid:durableId="1186597057">
    <w:abstractNumId w:val="6"/>
  </w:num>
  <w:num w:numId="11" w16cid:durableId="3695762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8"/>
  <w:hideSpellingErrors/>
  <w:hideGrammaticalErrors/>
  <w:proofState w:spelling="clean" w:grammar="clean"/>
  <w:doNotTrackMoves/>
  <w:defaultTabStop w:val="720"/>
  <w:doNotHyphenateCaps/>
  <w:displayHorizontalDrawingGridEvery w:val="0"/>
  <w:displayVerticalDrawingGridEvery w:val="0"/>
  <w:doNotUseMarginsForDrawingGridOrigin/>
  <w:drawingGridHorizontalOrigin w:val="1800"/>
  <w:drawingGridVerticalOrigin w:val="1440"/>
  <w:doNotShadeFormData/>
  <w:noPunctuationKerning/>
  <w:characterSpacingControl w:val="doNotCompress"/>
  <w:savePreviewPicture/>
  <w:footnotePr>
    <w:footnote w:id="-1"/>
    <w:footnote w:id="0"/>
  </w:footnotePr>
  <w:endnotePr>
    <w:endnote w:id="-1"/>
    <w:endnote w:id="0"/>
  </w:endnotePr>
  <w:compat>
    <w:printColBlack/>
    <w:showBreaksInFrames/>
    <w:suppressSpBfAfterPgBrk/>
    <w:swapBordersFacingPages/>
    <w:convMailMergeEsc/>
    <w:usePrinterMetrics/>
    <w:doNotSuppressParagraphBorders/>
    <w:footnoteLayoutLikeWW8/>
    <w:shapeLayoutLikeWW8/>
    <w:alignTablesRowByRow/>
    <w:forgetLastTabAlignment/>
    <w:noSpaceRaiseLower/>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743C8"/>
    <w:rsid w:val="000E17FF"/>
    <w:rsid w:val="000F2C37"/>
    <w:rsid w:val="001214F1"/>
    <w:rsid w:val="00130683"/>
    <w:rsid w:val="00145216"/>
    <w:rsid w:val="00152295"/>
    <w:rsid w:val="001646E8"/>
    <w:rsid w:val="00170243"/>
    <w:rsid w:val="00171DEA"/>
    <w:rsid w:val="00180747"/>
    <w:rsid w:val="001A2E93"/>
    <w:rsid w:val="001B50AD"/>
    <w:rsid w:val="001C1DF0"/>
    <w:rsid w:val="001C2CA2"/>
    <w:rsid w:val="001F16FB"/>
    <w:rsid w:val="001F1DD0"/>
    <w:rsid w:val="001F2373"/>
    <w:rsid w:val="001F344E"/>
    <w:rsid w:val="00203F09"/>
    <w:rsid w:val="00207B71"/>
    <w:rsid w:val="002412B6"/>
    <w:rsid w:val="0025082D"/>
    <w:rsid w:val="002918E2"/>
    <w:rsid w:val="0029680D"/>
    <w:rsid w:val="002A021A"/>
    <w:rsid w:val="002D1DE3"/>
    <w:rsid w:val="002E491C"/>
    <w:rsid w:val="00301C93"/>
    <w:rsid w:val="0030216B"/>
    <w:rsid w:val="003447F8"/>
    <w:rsid w:val="00345D1B"/>
    <w:rsid w:val="003626A0"/>
    <w:rsid w:val="00364833"/>
    <w:rsid w:val="00380D34"/>
    <w:rsid w:val="003C2AD4"/>
    <w:rsid w:val="00415F51"/>
    <w:rsid w:val="00452937"/>
    <w:rsid w:val="00475744"/>
    <w:rsid w:val="004A749E"/>
    <w:rsid w:val="0050484D"/>
    <w:rsid w:val="00580FE2"/>
    <w:rsid w:val="005967F3"/>
    <w:rsid w:val="005F789F"/>
    <w:rsid w:val="00631C9F"/>
    <w:rsid w:val="006442AE"/>
    <w:rsid w:val="00690FA0"/>
    <w:rsid w:val="00691AF2"/>
    <w:rsid w:val="0069319B"/>
    <w:rsid w:val="006B68A2"/>
    <w:rsid w:val="006E51E2"/>
    <w:rsid w:val="006F1917"/>
    <w:rsid w:val="006F7889"/>
    <w:rsid w:val="007709B4"/>
    <w:rsid w:val="007743C8"/>
    <w:rsid w:val="007846E1"/>
    <w:rsid w:val="00807308"/>
    <w:rsid w:val="008131CD"/>
    <w:rsid w:val="00880D76"/>
    <w:rsid w:val="008A1052"/>
    <w:rsid w:val="008B3266"/>
    <w:rsid w:val="008B4CC9"/>
    <w:rsid w:val="008B5801"/>
    <w:rsid w:val="008E507D"/>
    <w:rsid w:val="00922C13"/>
    <w:rsid w:val="009271F7"/>
    <w:rsid w:val="0093184E"/>
    <w:rsid w:val="00946F95"/>
    <w:rsid w:val="00993132"/>
    <w:rsid w:val="00994741"/>
    <w:rsid w:val="00997C8D"/>
    <w:rsid w:val="009A35AC"/>
    <w:rsid w:val="00A175D1"/>
    <w:rsid w:val="00A339AD"/>
    <w:rsid w:val="00A3691E"/>
    <w:rsid w:val="00A449DE"/>
    <w:rsid w:val="00A55405"/>
    <w:rsid w:val="00A77515"/>
    <w:rsid w:val="00AC16E8"/>
    <w:rsid w:val="00AE7ED6"/>
    <w:rsid w:val="00B12FC2"/>
    <w:rsid w:val="00B141ED"/>
    <w:rsid w:val="00BA3603"/>
    <w:rsid w:val="00BE042B"/>
    <w:rsid w:val="00BE17FC"/>
    <w:rsid w:val="00BE3603"/>
    <w:rsid w:val="00BE437E"/>
    <w:rsid w:val="00C37A29"/>
    <w:rsid w:val="00C4489E"/>
    <w:rsid w:val="00C72AF9"/>
    <w:rsid w:val="00C765E7"/>
    <w:rsid w:val="00CB7351"/>
    <w:rsid w:val="00CC1C17"/>
    <w:rsid w:val="00CE33A1"/>
    <w:rsid w:val="00CF4C14"/>
    <w:rsid w:val="00D72C8C"/>
    <w:rsid w:val="00D740F5"/>
    <w:rsid w:val="00D86CBB"/>
    <w:rsid w:val="00DB5F94"/>
    <w:rsid w:val="00DF5683"/>
    <w:rsid w:val="00E25627"/>
    <w:rsid w:val="00E36F39"/>
    <w:rsid w:val="00E67E07"/>
    <w:rsid w:val="00E73CF2"/>
    <w:rsid w:val="00E76A00"/>
    <w:rsid w:val="00E82464"/>
    <w:rsid w:val="00EA7E5D"/>
    <w:rsid w:val="00EB4AFD"/>
    <w:rsid w:val="00EB550C"/>
    <w:rsid w:val="00EE0E53"/>
    <w:rsid w:val="00EE520D"/>
    <w:rsid w:val="00F109BB"/>
    <w:rsid w:val="00F15018"/>
    <w:rsid w:val="00F34B52"/>
    <w:rsid w:val="00F81837"/>
    <w:rsid w:val="00F818A7"/>
    <w:rsid w:val="00F873B7"/>
    <w:rsid w:val="00F92675"/>
    <w:rsid w:val="00F97D38"/>
    <w:rsid w:val="00FD3AA9"/>
    <w:rsid w:val="00FD3F62"/>
    <w:rsid w:val="081873F0"/>
    <w:rsid w:val="115A7068"/>
    <w:rsid w:val="1D9B112C"/>
    <w:rsid w:val="1F4B0BE5"/>
    <w:rsid w:val="307F340C"/>
    <w:rsid w:val="35470F7B"/>
    <w:rsid w:val="4E2A7F81"/>
    <w:rsid w:val="693806F1"/>
    <w:rsid w:val="7BC17119"/>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81" fillcolor="white">
      <v:fill color="white"/>
    </o:shapedefaults>
    <o:shapelayout v:ext="edit">
      <o:idmap v:ext="edit" data="1"/>
    </o:shapelayout>
  </w:shapeDefaults>
  <w:decimalSymbol w:val="."/>
  <w:listSeparator w:val=","/>
  <w14:docId w14:val="08ECE836"/>
  <w15:docId w15:val="{BCD87C1A-2B04-4355-A568-1CE7DA8AA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lsdException w:name="footer" w:semiHidden="1"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eastAsia="en-US"/>
    </w:rPr>
  </w:style>
  <w:style w:type="paragraph" w:styleId="Heading1">
    <w:name w:val="heading 1"/>
    <w:basedOn w:val="Normal"/>
    <w:next w:val="Normal"/>
    <w:qFormat/>
    <w:pPr>
      <w:keepNext/>
      <w:jc w:val="center"/>
      <w:outlineLvl w:val="0"/>
    </w:pPr>
    <w:rPr>
      <w:rFonts w:ascii="Bookman Old Style" w:hAnsi="Bookman Old Style"/>
      <w:sz w:val="24"/>
    </w:rPr>
  </w:style>
  <w:style w:type="paragraph" w:styleId="Heading2">
    <w:name w:val="heading 2"/>
    <w:basedOn w:val="Normal"/>
    <w:next w:val="Normal"/>
    <w:qFormat/>
    <w:pPr>
      <w:keepNext/>
      <w:tabs>
        <w:tab w:val="left" w:pos="360"/>
      </w:tabs>
      <w:jc w:val="both"/>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qFormat/>
    <w:rPr>
      <w:rFonts w:ascii="Tahoma" w:hAnsi="Tahoma" w:cs="Tahoma"/>
      <w:sz w:val="16"/>
      <w:szCs w:val="16"/>
    </w:rPr>
  </w:style>
  <w:style w:type="paragraph" w:styleId="BodyText">
    <w:name w:val="Body Text"/>
    <w:basedOn w:val="Normal"/>
    <w:semiHidden/>
    <w:qFormat/>
    <w:pPr>
      <w:jc w:val="center"/>
    </w:pPr>
    <w:rPr>
      <w:b/>
    </w:rPr>
  </w:style>
  <w:style w:type="paragraph" w:styleId="BodyText3">
    <w:name w:val="Body Text 3"/>
    <w:basedOn w:val="Normal"/>
    <w:link w:val="BodyText3Char"/>
    <w:uiPriority w:val="99"/>
    <w:unhideWhenUsed/>
    <w:qFormat/>
    <w:pPr>
      <w:spacing w:after="120"/>
    </w:pPr>
    <w:rPr>
      <w:sz w:val="16"/>
      <w:szCs w:val="16"/>
      <w:lang w:val="zh-CN"/>
    </w:rPr>
  </w:style>
  <w:style w:type="paragraph" w:styleId="Footer">
    <w:name w:val="footer"/>
    <w:basedOn w:val="Normal"/>
    <w:semiHidden/>
    <w:pPr>
      <w:tabs>
        <w:tab w:val="center" w:pos="4320"/>
        <w:tab w:val="right" w:pos="8640"/>
      </w:tabs>
    </w:pPr>
  </w:style>
  <w:style w:type="paragraph" w:styleId="Header">
    <w:name w:val="header"/>
    <w:basedOn w:val="Normal"/>
    <w:semiHidden/>
    <w:pPr>
      <w:tabs>
        <w:tab w:val="center" w:pos="4320"/>
        <w:tab w:val="right" w:pos="8640"/>
      </w:tabs>
    </w:p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3Char">
    <w:name w:val="Body Text 3 Char"/>
    <w:link w:val="BodyText3"/>
    <w:uiPriority w:val="99"/>
    <w:rPr>
      <w:sz w:val="16"/>
      <w:szCs w:val="16"/>
      <w:lang w:eastAsia="en-US"/>
    </w:rPr>
  </w:style>
  <w:style w:type="paragraph" w:styleId="ListParagraph">
    <w:name w:val="List Paragraph"/>
    <w:basedOn w:val="Normal"/>
    <w:uiPriority w:val="34"/>
    <w:qFormat/>
    <w:pPr>
      <w:ind w:left="72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3.bin"/><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2.emf"/><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53"/>
    <customShpInfo spid="_x0000_s1063"/>
    <customShpInfo spid="_x0000_s1064"/>
    <customShpInfo spid="_x0000_s1041"/>
    <customShpInfo spid="_x0000_s1062"/>
    <customShpInfo spid="_x0000_s1067"/>
    <customShpInfo spid="_x0000_s1056"/>
    <customShpInfo spid="_x0000_s1058"/>
    <customShpInfo spid="_x0000_s1068"/>
    <customShpInfo spid="_x0000_s1069"/>
    <customShpInfo spid="_x0000_s107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4</Pages>
  <Words>2154</Words>
  <Characters>12278</Characters>
  <Application>Microsoft Office Word</Application>
  <DocSecurity>0</DocSecurity>
  <Lines>102</Lines>
  <Paragraphs>28</Paragraphs>
  <ScaleCrop>false</ScaleCrop>
  <Company>E&amp;E Labs, Inc.</Company>
  <LinksUpToDate>false</LinksUpToDate>
  <CharactersWithSpaces>14404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AFP enzyme immunoassay test kit</dc:title>
  <dc:creator>SHAO FANG YOU</dc:creator>
  <cp:lastModifiedBy>Prathiba Adappa</cp:lastModifiedBy>
  <cp:revision>19</cp:revision>
  <cp:lastPrinted>2008-08-26T11:33:00Z</cp:lastPrinted>
  <dcterms:created xsi:type="dcterms:W3CDTF">2024-08-01T07:42:00Z</dcterms:created>
  <dcterms:modified xsi:type="dcterms:W3CDTF">2024-09-10T05:47:00Z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2057-12.2.0.17153</vt:lpwstr>
  </property>
  <property fmtid="{D5CDD505-2E9C-101B-9397-08002B2CF9AE}" pid="3" name="ICV">
    <vt:lpwstr>0C6D6EEFAFA4403F9DA91F189A4E709D_12</vt:lpwstr>
  </property>
</Properties>
</file>