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17C5">
      <w:pPr>
        <w:pStyle w:val="9"/>
        <w:tabs>
          <w:tab w:val="clear" w:pos="4320"/>
          <w:tab w:val="clear" w:pos="8640"/>
        </w:tabs>
        <w:rPr>
          <w:sz w:val="24"/>
        </w:rPr>
      </w:pPr>
      <w:r>
        <w:pict>
          <v:rect id="_x0000_s1026" o:spid="_x0000_s1026" o:spt="1" style="position:absolute;left:0pt;margin-left:7.2pt;margin-top:0pt;height:50.6pt;width:223pt;z-index:251659264;mso-width-relative:page;mso-height-relative:page;" filled="f" stroked="f" coordsize="21600,21600" o:allowincell="f">
            <v:path/>
            <v:fill on="f" focussize="0,0"/>
            <v:stroke on="f" weight="4pt"/>
            <v:imagedata o:title=""/>
            <o:lock v:ext="edit" aspectratio="f"/>
            <v:textbox inset="1pt,1pt,1pt,1pt">
              <w:txbxContent>
                <w:p w14:paraId="6F97EAFD">
                  <w:pPr>
                    <w:jc w:val="center"/>
                    <w:rPr>
                      <w:rFonts w:ascii="Bookman Old Style" w:hAnsi="Bookman Old Style"/>
                      <w:b/>
                      <w:sz w:val="24"/>
                    </w:rPr>
                  </w:pPr>
                  <w:r>
                    <w:rPr>
                      <w:rFonts w:ascii="Bookman Old Style" w:hAnsi="Bookman Old Style"/>
                      <w:b/>
                      <w:sz w:val="24"/>
                    </w:rPr>
                    <w:t>Anti-Mullerian Hormone (AMH)</w:t>
                  </w:r>
                </w:p>
                <w:p w14:paraId="2DD8A5AD">
                  <w:pPr>
                    <w:jc w:val="center"/>
                    <w:rPr>
                      <w:rFonts w:hint="default" w:ascii="Bookman Old Style" w:hAnsi="Bookman Old Style"/>
                      <w:b/>
                      <w:sz w:val="24"/>
                      <w:lang w:val="en-GB"/>
                    </w:rPr>
                  </w:pPr>
                  <w:r>
                    <w:rPr>
                      <w:rFonts w:ascii="Bookman Old Style" w:hAnsi="Bookman Old Style"/>
                      <w:b/>
                      <w:sz w:val="24"/>
                    </w:rPr>
                    <w:t xml:space="preserve">ENZYME IMMUNOASSAY </w:t>
                  </w:r>
                  <w:r>
                    <w:rPr>
                      <w:rFonts w:hint="default" w:ascii="Bookman Old Style" w:hAnsi="Bookman Old Style"/>
                      <w:b/>
                      <w:sz w:val="24"/>
                      <w:lang w:val="en-GB"/>
                    </w:rPr>
                    <w:t>TEST KIT</w:t>
                  </w:r>
                </w:p>
                <w:p w14:paraId="7410A935">
                  <w:pPr>
                    <w:jc w:val="center"/>
                    <w:rPr>
                      <w:b/>
                      <w:sz w:val="28"/>
                    </w:rPr>
                  </w:pPr>
                </w:p>
              </w:txbxContent>
            </v:textbox>
          </v:rect>
        </w:pict>
      </w:r>
    </w:p>
    <w:p w14:paraId="6DA5D288">
      <w:pPr>
        <w:rPr>
          <w:sz w:val="24"/>
        </w:rPr>
      </w:pPr>
    </w:p>
    <w:p w14:paraId="0D8A8FD0">
      <w:pPr>
        <w:rPr>
          <w:sz w:val="24"/>
        </w:rPr>
      </w:pPr>
    </w:p>
    <w:p w14:paraId="17BBE154"/>
    <w:p w14:paraId="1DC000ED">
      <w:pPr>
        <w:tabs>
          <w:tab w:val="left" w:pos="360"/>
        </w:tabs>
        <w:jc w:val="center"/>
        <w:rPr>
          <w:rFonts w:ascii="Arial" w:hAnsi="Arial" w:cs="Arial"/>
          <w:b/>
        </w:rPr>
      </w:pPr>
    </w:p>
    <w:p w14:paraId="4EBA14C3">
      <w:pPr>
        <w:tabs>
          <w:tab w:val="left" w:pos="360"/>
        </w:tabs>
        <w:jc w:val="center"/>
        <w:rPr>
          <w:rFonts w:hint="default" w:ascii="Arial" w:hAnsi="Arial" w:cs="Arial"/>
          <w:b/>
          <w:lang w:val="en-GB"/>
        </w:rPr>
      </w:pPr>
      <w:r>
        <w:rPr>
          <w:rFonts w:hint="default" w:ascii="Arial" w:hAnsi="Arial" w:cs="Arial"/>
          <w:b/>
          <w:lang w:val="en-GB"/>
        </w:rPr>
        <w:t xml:space="preserve">   </w:t>
      </w:r>
      <w:r>
        <w:rPr>
          <w:rFonts w:ascii="Arial" w:hAnsi="Arial" w:cs="Arial"/>
          <w:b/>
        </w:rPr>
        <w:t xml:space="preserve">Enzyme Linked Immunosorbent Assay (ELISA) </w:t>
      </w:r>
      <w:r>
        <w:rPr>
          <w:rFonts w:hint="default" w:ascii="Arial" w:hAnsi="Arial" w:cs="Arial"/>
          <w:b/>
          <w:lang w:val="en-GB"/>
        </w:rPr>
        <w:t xml:space="preserve">       </w:t>
      </w:r>
    </w:p>
    <w:p w14:paraId="3FFE0F29">
      <w:pPr>
        <w:tabs>
          <w:tab w:val="left" w:pos="360"/>
        </w:tabs>
        <w:ind w:left="200" w:leftChars="100" w:firstLine="0" w:firstLineChars="0"/>
        <w:jc w:val="both"/>
        <w:rPr>
          <w:rFonts w:ascii="Arial" w:hAnsi="Arial" w:cs="Arial"/>
          <w:b/>
        </w:rPr>
      </w:pPr>
      <w:r>
        <w:rPr>
          <w:rFonts w:ascii="Arial" w:hAnsi="Arial" w:cs="Arial"/>
          <w:b/>
        </w:rPr>
        <w:t>for Quantitative Determination of Anti-Mullerian Hormone (AMH) in Human Serum</w:t>
      </w:r>
    </w:p>
    <w:p w14:paraId="10986E24">
      <w:pPr>
        <w:tabs>
          <w:tab w:val="left" w:pos="360"/>
        </w:tabs>
        <w:jc w:val="center"/>
        <w:rPr>
          <w:rFonts w:ascii="Arial" w:hAnsi="Arial" w:cs="Arial"/>
          <w:b/>
        </w:rPr>
      </w:pPr>
    </w:p>
    <w:p w14:paraId="42C6112D">
      <w:pPr>
        <w:tabs>
          <w:tab w:val="left" w:pos="360"/>
        </w:tabs>
        <w:jc w:val="center"/>
        <w:rPr>
          <w:rFonts w:ascii="Arial" w:hAnsi="Arial" w:cs="Arial"/>
          <w:b/>
        </w:rPr>
      </w:pPr>
      <w:r>
        <w:rPr>
          <w:rFonts w:ascii="Arial" w:hAnsi="Arial" w:cs="Arial"/>
          <w:b/>
        </w:rPr>
        <w:t>FOR IN VITRO DIAGNOSTIC USE ONLY</w:t>
      </w:r>
    </w:p>
    <w:p w14:paraId="438DCABB">
      <w:pPr>
        <w:tabs>
          <w:tab w:val="left" w:pos="360"/>
        </w:tabs>
        <w:jc w:val="center"/>
        <w:rPr>
          <w:rFonts w:ascii="Arial" w:hAnsi="Arial" w:cs="Arial"/>
          <w:bCs/>
          <w:sz w:val="18"/>
          <w:szCs w:val="18"/>
        </w:rPr>
      </w:pPr>
      <w:r>
        <w:rPr>
          <w:rFonts w:ascii="Arial" w:hAnsi="Arial" w:cs="Arial"/>
          <w:b/>
        </w:rPr>
        <w:t>Store at 2°C to 8°C</w:t>
      </w:r>
    </w:p>
    <w:p w14:paraId="31A74A8A">
      <w:pPr>
        <w:tabs>
          <w:tab w:val="left" w:pos="360"/>
        </w:tabs>
        <w:ind w:left="360"/>
        <w:jc w:val="both"/>
        <w:rPr>
          <w:rFonts w:ascii="Arial" w:hAnsi="Arial" w:cs="Arial"/>
          <w:bCs/>
          <w:sz w:val="18"/>
          <w:szCs w:val="18"/>
        </w:rPr>
      </w:pPr>
    </w:p>
    <w:p w14:paraId="6DCBBA52">
      <w:pPr>
        <w:tabs>
          <w:tab w:val="left" w:pos="360"/>
        </w:tabs>
        <w:ind w:left="360"/>
        <w:jc w:val="both"/>
        <w:rPr>
          <w:rFonts w:ascii="Arial" w:hAnsi="Arial" w:cs="Arial"/>
          <w:bCs/>
          <w:sz w:val="18"/>
          <w:szCs w:val="18"/>
        </w:rPr>
      </w:pPr>
      <w:r>
        <w:rPr>
          <w:rFonts w:ascii="Arial" w:hAnsi="Arial" w:cs="Arial"/>
          <w:bCs/>
          <w:sz w:val="18"/>
          <w:szCs w:val="18"/>
        </w:rPr>
        <w:t xml:space="preserve">INTENDED USE </w:t>
      </w:r>
    </w:p>
    <w:p w14:paraId="13FE995F">
      <w:pPr>
        <w:tabs>
          <w:tab w:val="left" w:pos="360"/>
        </w:tabs>
        <w:ind w:left="360"/>
        <w:jc w:val="both"/>
        <w:rPr>
          <w:rFonts w:ascii="Arial" w:hAnsi="Arial" w:cs="Arial"/>
          <w:bCs/>
          <w:sz w:val="18"/>
          <w:szCs w:val="18"/>
        </w:rPr>
      </w:pPr>
      <w:r>
        <w:rPr>
          <w:rFonts w:ascii="Arial" w:hAnsi="Arial" w:cs="Arial"/>
          <w:bCs/>
          <w:sz w:val="18"/>
          <w:szCs w:val="18"/>
        </w:rPr>
        <w:t>AMH test is intended for the quantitative determination of Anti-Mullerian Hormone (AMH) levels in human serum. For In Vitro Diagnostic Use Only.</w:t>
      </w:r>
    </w:p>
    <w:p w14:paraId="65C5F677">
      <w:pPr>
        <w:tabs>
          <w:tab w:val="left" w:pos="360"/>
        </w:tabs>
        <w:ind w:left="360"/>
        <w:jc w:val="both"/>
        <w:rPr>
          <w:rFonts w:ascii="Arial" w:hAnsi="Arial" w:cs="Arial"/>
          <w:bCs/>
          <w:sz w:val="18"/>
          <w:szCs w:val="18"/>
        </w:rPr>
      </w:pPr>
    </w:p>
    <w:p w14:paraId="18F7F025">
      <w:pPr>
        <w:tabs>
          <w:tab w:val="left" w:pos="360"/>
        </w:tabs>
        <w:ind w:left="360"/>
        <w:jc w:val="both"/>
        <w:rPr>
          <w:rFonts w:ascii="Arial" w:hAnsi="Arial" w:cs="Arial"/>
          <w:bCs/>
          <w:sz w:val="18"/>
          <w:szCs w:val="18"/>
        </w:rPr>
      </w:pPr>
      <w:r>
        <w:rPr>
          <w:rFonts w:ascii="Arial" w:hAnsi="Arial" w:cs="Arial"/>
          <w:bCs/>
          <w:sz w:val="18"/>
          <w:szCs w:val="18"/>
        </w:rPr>
        <w:t>INTRODUCTION</w:t>
      </w:r>
    </w:p>
    <w:p w14:paraId="29E29B8A">
      <w:pPr>
        <w:tabs>
          <w:tab w:val="left" w:pos="360"/>
        </w:tabs>
        <w:ind w:left="360"/>
        <w:jc w:val="both"/>
        <w:rPr>
          <w:rFonts w:ascii="Arial" w:hAnsi="Arial" w:cs="Arial"/>
          <w:bCs/>
          <w:sz w:val="18"/>
          <w:szCs w:val="18"/>
        </w:rPr>
      </w:pPr>
      <w:r>
        <w:rPr>
          <w:rFonts w:ascii="Arial" w:hAnsi="Arial" w:cs="Arial"/>
          <w:bCs/>
          <w:sz w:val="18"/>
          <w:szCs w:val="18"/>
        </w:rPr>
        <w:t xml:space="preserve">Anti-Mullerian hormone is a glycoprotein hormone structurally related to inhibin and activin from the transforming growth factor beta superfamily, whose key roles are in growth differentiation and folliculogenesis. AMH expression is critical to sex differentiation at a specific time during fetal development and appears to be tightly regulated by nuclear receptor SF1, transcription GATA factors, sex-reversal gene DAX1, and follicle-stimulating hormone (FSH). AMH is activated by SOX9 in the Sertoli cells of the male fetus thereby arresting the development of fallopian tubes, uterus, and upper vagina. AMH is also a product of granulosa cells of the preantral and small antral follicles in women. As such, AMH is only present in the ovary until menopause. AMH level is also lower and even below the detection limit if women with premature ovarian failure of any cause, including after cancer chemotherapy, etc. </w:t>
      </w:r>
    </w:p>
    <w:p w14:paraId="1CF334F0">
      <w:pPr>
        <w:tabs>
          <w:tab w:val="left" w:pos="360"/>
        </w:tabs>
        <w:ind w:left="360"/>
        <w:jc w:val="both"/>
        <w:rPr>
          <w:rFonts w:ascii="Arial" w:hAnsi="Arial" w:cs="Arial"/>
          <w:bCs/>
          <w:sz w:val="18"/>
          <w:szCs w:val="18"/>
        </w:rPr>
      </w:pPr>
    </w:p>
    <w:p w14:paraId="42F614F3">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4A1459AB">
      <w:pPr>
        <w:tabs>
          <w:tab w:val="left" w:pos="360"/>
        </w:tabs>
        <w:ind w:left="360"/>
        <w:jc w:val="both"/>
        <w:rPr>
          <w:rFonts w:ascii="Arial" w:hAnsi="Arial" w:cs="Arial"/>
          <w:bCs/>
          <w:sz w:val="18"/>
          <w:szCs w:val="18"/>
        </w:rPr>
      </w:pPr>
      <w:r>
        <w:rPr>
          <w:rFonts w:ascii="Arial" w:hAnsi="Arial" w:cs="Arial"/>
          <w:bCs/>
          <w:sz w:val="18"/>
          <w:szCs w:val="18"/>
        </w:rPr>
        <w:t>AMH Quantitative Test Kit is based on a solid phase enzyme-linked immunosorbent assay. In this assay, standards and samples are directly incubated in micro titer wells which have been coated with anti-AMH antibody. After the first incubation and washing, another anti-AMH detection antibody labeled with horseradish peroxidase (HRP) is added to each well. After a second incubation and washing step, a “sandwich” of solid-phase antibody-human AMH-HRP-conjugated</w:t>
      </w:r>
      <w:r>
        <w:rPr>
          <w:rFonts w:hint="default" w:ascii="Arial" w:hAnsi="Arial" w:cs="Arial"/>
          <w:bCs/>
          <w:sz w:val="18"/>
          <w:szCs w:val="18"/>
          <w:lang w:val="en-GB"/>
        </w:rPr>
        <w:t xml:space="preserve"> </w:t>
      </w:r>
      <w:r>
        <w:rPr>
          <w:rFonts w:ascii="Arial" w:hAnsi="Arial" w:cs="Arial"/>
          <w:bCs/>
          <w:sz w:val="18"/>
          <w:szCs w:val="18"/>
        </w:rPr>
        <w:t>monoclonal antibody is formed. Following the substrate tetramethylbenzidine (TMB) is added to the wells. The reaction is stopped after specified time using stop solution and the absorbance is determined for each well using an ELISA reader. The enzymatic activity of the immunocomplex in each well is directly proportional to the amount of human AMH in the test samples. The AMH concentrations in the samples can then be calculated from a standard curve.</w:t>
      </w:r>
    </w:p>
    <w:p w14:paraId="47EFA116">
      <w:pPr>
        <w:tabs>
          <w:tab w:val="left" w:pos="360"/>
        </w:tabs>
        <w:ind w:left="360"/>
        <w:jc w:val="both"/>
        <w:rPr>
          <w:rFonts w:ascii="Arial" w:hAnsi="Arial" w:cs="Arial"/>
          <w:bCs/>
          <w:sz w:val="18"/>
          <w:szCs w:val="18"/>
        </w:rPr>
      </w:pPr>
    </w:p>
    <w:p w14:paraId="56A2B75B">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10E251F0">
      <w:pPr>
        <w:tabs>
          <w:tab w:val="left" w:pos="360"/>
        </w:tabs>
        <w:ind w:left="360"/>
        <w:jc w:val="both"/>
        <w:rPr>
          <w:rFonts w:ascii="Arial" w:hAnsi="Arial" w:cs="Arial"/>
          <w:bCs/>
          <w:sz w:val="18"/>
          <w:szCs w:val="18"/>
        </w:rPr>
      </w:pPr>
    </w:p>
    <w:p w14:paraId="3CE5CCB4">
      <w:pPr>
        <w:tabs>
          <w:tab w:val="left" w:pos="360"/>
        </w:tabs>
        <w:ind w:left="360"/>
        <w:jc w:val="both"/>
        <w:rPr>
          <w:rFonts w:ascii="Arial" w:hAnsi="Arial" w:cs="Arial"/>
          <w:bCs/>
          <w:sz w:val="18"/>
          <w:szCs w:val="18"/>
        </w:rPr>
      </w:pPr>
      <w:r>
        <w:rPr>
          <w:rFonts w:ascii="Arial" w:hAnsi="Arial" w:cs="Arial"/>
          <w:bCs/>
          <w:sz w:val="18"/>
          <w:szCs w:val="18"/>
        </w:rPr>
        <w:t xml:space="preserve"> Materials provided with the test kits: </w:t>
      </w:r>
    </w:p>
    <w:p w14:paraId="6C53B977">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Coated Microwells: Microwells coated with monoclonal anti- AMH antibody </w:t>
      </w:r>
    </w:p>
    <w:p w14:paraId="466F2D1E">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AMH Sample Diluent. Ready to use. </w:t>
      </w:r>
    </w:p>
    <w:p w14:paraId="3C6D3305">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AMH Enzyme Conjugate (100X)</w:t>
      </w:r>
    </w:p>
    <w:p w14:paraId="11BF3330">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AMH Conjugate Diluent </w:t>
      </w:r>
    </w:p>
    <w:p w14:paraId="16D877AD">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TMB Substrate. Ready to use </w:t>
      </w:r>
    </w:p>
    <w:p w14:paraId="534D2644">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Stop Solution. Ready to use</w:t>
      </w:r>
    </w:p>
    <w:p w14:paraId="4756E49A">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AMH Standard set of 6 standards labeled as A to F in Lyophilized form. For standard Concentrations refer vial label.</w:t>
      </w:r>
    </w:p>
    <w:p w14:paraId="0632BC91">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Wash Buffer Concentrate (20X).</w:t>
      </w:r>
    </w:p>
    <w:p w14:paraId="7D8E922D">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Control Set in lyophilized form. For control range refer vial label. </w:t>
      </w:r>
    </w:p>
    <w:p w14:paraId="22397DA8">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Pack Insert</w:t>
      </w:r>
    </w:p>
    <w:p w14:paraId="25078D5E">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Plate Sealer</w:t>
      </w:r>
    </w:p>
    <w:p w14:paraId="7A583605">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 xml:space="preserve">Protocol Sheet </w:t>
      </w:r>
    </w:p>
    <w:p w14:paraId="74F625F7">
      <w:pPr>
        <w:numPr>
          <w:ilvl w:val="0"/>
          <w:numId w:val="1"/>
        </w:numPr>
        <w:tabs>
          <w:tab w:val="left" w:pos="360"/>
        </w:tabs>
        <w:ind w:left="709" w:hanging="142"/>
        <w:jc w:val="both"/>
        <w:rPr>
          <w:rFonts w:ascii="Arial" w:hAnsi="Arial" w:cs="Arial"/>
          <w:bCs/>
          <w:sz w:val="18"/>
          <w:szCs w:val="18"/>
        </w:rPr>
      </w:pPr>
      <w:r>
        <w:rPr>
          <w:rFonts w:ascii="Arial" w:hAnsi="Arial" w:cs="Arial"/>
          <w:bCs/>
          <w:sz w:val="18"/>
          <w:szCs w:val="18"/>
        </w:rPr>
        <w:t>Microwell Holder</w:t>
      </w:r>
    </w:p>
    <w:p w14:paraId="657FF2DE">
      <w:pPr>
        <w:tabs>
          <w:tab w:val="left" w:pos="360"/>
        </w:tabs>
        <w:ind w:left="709" w:hanging="142"/>
        <w:jc w:val="both"/>
        <w:rPr>
          <w:rFonts w:ascii="Arial" w:hAnsi="Arial" w:cs="Arial"/>
          <w:bCs/>
          <w:sz w:val="18"/>
          <w:szCs w:val="18"/>
        </w:rPr>
      </w:pPr>
    </w:p>
    <w:p w14:paraId="55748A54">
      <w:pPr>
        <w:tabs>
          <w:tab w:val="left" w:pos="360"/>
        </w:tabs>
        <w:ind w:left="709" w:hanging="142"/>
        <w:jc w:val="both"/>
        <w:rPr>
          <w:rFonts w:ascii="Arial" w:hAnsi="Arial" w:cs="Arial"/>
          <w:bCs/>
          <w:sz w:val="18"/>
          <w:szCs w:val="18"/>
        </w:rPr>
      </w:pPr>
      <w:r>
        <w:rPr>
          <w:rFonts w:ascii="Arial" w:hAnsi="Arial" w:cs="Arial"/>
          <w:bCs/>
          <w:sz w:val="18"/>
          <w:szCs w:val="18"/>
        </w:rPr>
        <w:t xml:space="preserve">Materials required but not provided: </w:t>
      </w:r>
    </w:p>
    <w:p w14:paraId="1D1BC844">
      <w:pPr>
        <w:numPr>
          <w:ilvl w:val="0"/>
          <w:numId w:val="2"/>
        </w:numPr>
        <w:tabs>
          <w:tab w:val="left" w:pos="360"/>
        </w:tabs>
        <w:ind w:left="709" w:hanging="142"/>
        <w:jc w:val="both"/>
        <w:rPr>
          <w:rFonts w:ascii="Arial" w:hAnsi="Arial" w:cs="Arial"/>
          <w:bCs/>
          <w:sz w:val="18"/>
          <w:szCs w:val="18"/>
        </w:rPr>
      </w:pPr>
      <w:r>
        <w:rPr>
          <w:rFonts w:ascii="Arial" w:hAnsi="Arial" w:cs="Arial"/>
          <w:bCs/>
          <w:sz w:val="18"/>
          <w:szCs w:val="18"/>
        </w:rPr>
        <w:t xml:space="preserve">Precision pipettes: 10µl, 50-200µl, 100-1000µl </w:t>
      </w:r>
    </w:p>
    <w:p w14:paraId="26518C3A">
      <w:pPr>
        <w:numPr>
          <w:ilvl w:val="0"/>
          <w:numId w:val="2"/>
        </w:numPr>
        <w:tabs>
          <w:tab w:val="left" w:pos="360"/>
        </w:tabs>
        <w:ind w:left="709" w:hanging="142"/>
        <w:jc w:val="both"/>
        <w:rPr>
          <w:rFonts w:ascii="Arial" w:hAnsi="Arial" w:cs="Arial"/>
          <w:bCs/>
          <w:sz w:val="18"/>
          <w:szCs w:val="18"/>
        </w:rPr>
      </w:pPr>
      <w:r>
        <w:rPr>
          <w:rFonts w:ascii="Arial" w:hAnsi="Arial" w:cs="Arial"/>
          <w:bCs/>
          <w:sz w:val="18"/>
          <w:szCs w:val="18"/>
        </w:rPr>
        <w:t>Disposable pipette tips</w:t>
      </w:r>
    </w:p>
    <w:p w14:paraId="7A34289E">
      <w:pPr>
        <w:numPr>
          <w:ilvl w:val="0"/>
          <w:numId w:val="2"/>
        </w:numPr>
        <w:tabs>
          <w:tab w:val="left" w:pos="360"/>
        </w:tabs>
        <w:ind w:left="709" w:hanging="142"/>
        <w:jc w:val="both"/>
        <w:rPr>
          <w:rFonts w:ascii="Arial" w:hAnsi="Arial" w:cs="Arial"/>
          <w:bCs/>
          <w:sz w:val="18"/>
          <w:szCs w:val="18"/>
        </w:rPr>
      </w:pPr>
      <w:r>
        <w:rPr>
          <w:rFonts w:ascii="Arial" w:hAnsi="Arial" w:cs="Arial"/>
          <w:bCs/>
          <w:sz w:val="18"/>
          <w:szCs w:val="18"/>
        </w:rPr>
        <w:t xml:space="preserve">Distilled water </w:t>
      </w:r>
    </w:p>
    <w:p w14:paraId="65576794">
      <w:pPr>
        <w:numPr>
          <w:ilvl w:val="0"/>
          <w:numId w:val="2"/>
        </w:numPr>
        <w:tabs>
          <w:tab w:val="left" w:pos="360"/>
        </w:tabs>
        <w:ind w:left="709" w:hanging="142"/>
        <w:jc w:val="both"/>
        <w:rPr>
          <w:rFonts w:ascii="Arial" w:hAnsi="Arial" w:cs="Arial"/>
          <w:bCs/>
          <w:sz w:val="18"/>
          <w:szCs w:val="18"/>
        </w:rPr>
      </w:pPr>
      <w:r>
        <w:rPr>
          <w:rFonts w:ascii="Arial" w:hAnsi="Arial" w:cs="Arial"/>
          <w:bCs/>
          <w:sz w:val="18"/>
          <w:szCs w:val="18"/>
        </w:rPr>
        <w:t>Disposable Gloves</w:t>
      </w:r>
    </w:p>
    <w:p w14:paraId="744A0522">
      <w:pPr>
        <w:numPr>
          <w:ilvl w:val="0"/>
          <w:numId w:val="2"/>
        </w:numPr>
        <w:tabs>
          <w:tab w:val="left" w:pos="360"/>
        </w:tabs>
        <w:ind w:left="709" w:hanging="142"/>
        <w:jc w:val="both"/>
        <w:rPr>
          <w:rFonts w:ascii="Arial" w:hAnsi="Arial" w:cs="Arial"/>
          <w:bCs/>
          <w:sz w:val="18"/>
          <w:szCs w:val="18"/>
        </w:rPr>
      </w:pPr>
      <w:r>
        <w:rPr>
          <w:rFonts w:ascii="Arial" w:hAnsi="Arial" w:cs="Arial"/>
          <w:bCs/>
          <w:sz w:val="18"/>
          <w:szCs w:val="18"/>
        </w:rPr>
        <w:t>ELISA reader</w:t>
      </w:r>
    </w:p>
    <w:p w14:paraId="409877CF">
      <w:pPr>
        <w:numPr>
          <w:ilvl w:val="0"/>
          <w:numId w:val="2"/>
        </w:numPr>
        <w:tabs>
          <w:tab w:val="left" w:pos="360"/>
        </w:tabs>
        <w:ind w:hanging="873"/>
        <w:jc w:val="both"/>
        <w:rPr>
          <w:rFonts w:ascii="Arial" w:hAnsi="Arial" w:cs="Arial"/>
          <w:bCs/>
          <w:sz w:val="18"/>
          <w:szCs w:val="18"/>
        </w:rPr>
      </w:pPr>
      <w:r>
        <w:rPr>
          <w:rFonts w:ascii="Arial" w:hAnsi="Arial" w:cs="Arial"/>
          <w:bCs/>
          <w:sz w:val="18"/>
          <w:szCs w:val="18"/>
        </w:rPr>
        <w:t>ELISA washer</w:t>
      </w:r>
    </w:p>
    <w:p w14:paraId="6F5DBF04">
      <w:pPr>
        <w:tabs>
          <w:tab w:val="left" w:pos="360"/>
        </w:tabs>
        <w:ind w:left="360"/>
        <w:jc w:val="both"/>
        <w:rPr>
          <w:rFonts w:ascii="Arial" w:hAnsi="Arial" w:cs="Arial"/>
          <w:bCs/>
          <w:sz w:val="18"/>
          <w:szCs w:val="18"/>
        </w:rPr>
      </w:pPr>
    </w:p>
    <w:p w14:paraId="170F3CF6">
      <w:pPr>
        <w:tabs>
          <w:tab w:val="left" w:pos="360"/>
        </w:tabs>
        <w:ind w:left="360"/>
        <w:jc w:val="both"/>
        <w:rPr>
          <w:rFonts w:ascii="Arial" w:hAnsi="Arial" w:cs="Arial"/>
          <w:bCs/>
          <w:sz w:val="18"/>
          <w:szCs w:val="18"/>
        </w:rPr>
      </w:pPr>
    </w:p>
    <w:p w14:paraId="1401AE81">
      <w:pPr>
        <w:tabs>
          <w:tab w:val="left" w:pos="360"/>
        </w:tabs>
        <w:ind w:left="360"/>
        <w:jc w:val="both"/>
        <w:rPr>
          <w:rFonts w:ascii="Arial" w:hAnsi="Arial" w:cs="Arial"/>
          <w:bCs/>
          <w:sz w:val="18"/>
          <w:szCs w:val="18"/>
        </w:rPr>
      </w:pPr>
      <w:r>
        <w:rPr>
          <w:rFonts w:ascii="Arial" w:hAnsi="Arial" w:cs="Arial"/>
          <w:bCs/>
          <w:sz w:val="18"/>
          <w:szCs w:val="18"/>
        </w:rPr>
        <w:t>STORAGE AND STABILITY</w:t>
      </w:r>
    </w:p>
    <w:p w14:paraId="6D503FB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AMH kit is stable at 2-8°C upto expiry date printed on the label. </w:t>
      </w:r>
    </w:p>
    <w:p w14:paraId="5F28473E">
      <w:pPr>
        <w:numPr>
          <w:ilvl w:val="0"/>
          <w:numId w:val="3"/>
        </w:numPr>
        <w:tabs>
          <w:tab w:val="left" w:pos="360"/>
        </w:tabs>
        <w:jc w:val="both"/>
        <w:rPr>
          <w:rFonts w:ascii="Arial" w:hAnsi="Arial" w:cs="Arial"/>
          <w:bCs/>
          <w:sz w:val="18"/>
          <w:szCs w:val="18"/>
        </w:rPr>
      </w:pPr>
      <w:r>
        <w:rPr>
          <w:rFonts w:ascii="Arial" w:hAnsi="Arial" w:cs="Arial"/>
          <w:bCs/>
          <w:sz w:val="18"/>
          <w:szCs w:val="18"/>
        </w:rPr>
        <w:t>Coated Microwells should be used within one month upon opening the pouch provided that once opened, the pouch must be resealed to protect from moisture. If the colour of the desiccant has changed from blue to pink at the time of opening the pouch, another coated Microwells pouch should be used.</w:t>
      </w:r>
    </w:p>
    <w:p w14:paraId="7EEBD516">
      <w:pPr>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w:t>
      </w:r>
      <w:r>
        <w:rPr>
          <w:rFonts w:hint="default" w:ascii="Arial" w:hAnsi="Arial" w:cs="Arial"/>
          <w:bCs/>
          <w:sz w:val="18"/>
          <w:szCs w:val="18"/>
          <w:lang w:val="en-GB"/>
        </w:rPr>
        <w:t xml:space="preserve"> for</w:t>
      </w:r>
      <w:r>
        <w:rPr>
          <w:rFonts w:ascii="Arial" w:hAnsi="Arial" w:cs="Arial"/>
          <w:bCs/>
          <w:sz w:val="18"/>
          <w:szCs w:val="18"/>
        </w:rPr>
        <w:t xml:space="preserve"> upto one week when stored at 2-8°C. </w:t>
      </w:r>
    </w:p>
    <w:p w14:paraId="07FE3C92">
      <w:pPr>
        <w:tabs>
          <w:tab w:val="left" w:pos="360"/>
        </w:tabs>
        <w:ind w:left="360"/>
        <w:jc w:val="both"/>
        <w:rPr>
          <w:rFonts w:ascii="Arial" w:hAnsi="Arial" w:cs="Arial"/>
          <w:bCs/>
          <w:sz w:val="18"/>
          <w:szCs w:val="18"/>
        </w:rPr>
      </w:pPr>
    </w:p>
    <w:p w14:paraId="586E78A5">
      <w:pPr>
        <w:tabs>
          <w:tab w:val="left" w:pos="360"/>
        </w:tabs>
        <w:ind w:left="360"/>
        <w:jc w:val="both"/>
        <w:rPr>
          <w:rFonts w:ascii="Arial" w:hAnsi="Arial" w:cs="Arial"/>
          <w:bCs/>
          <w:sz w:val="18"/>
          <w:szCs w:val="18"/>
        </w:rPr>
      </w:pPr>
      <w:r>
        <w:rPr>
          <w:rFonts w:ascii="Arial" w:hAnsi="Arial" w:cs="Arial"/>
          <w:bCs/>
          <w:sz w:val="18"/>
          <w:szCs w:val="18"/>
        </w:rPr>
        <w:t>SPECIMEN COLLECTION</w:t>
      </w:r>
    </w:p>
    <w:p w14:paraId="279BA8DA">
      <w:pPr>
        <w:numPr>
          <w:ilvl w:val="0"/>
          <w:numId w:val="4"/>
        </w:numPr>
        <w:tabs>
          <w:tab w:val="left" w:pos="360"/>
        </w:tabs>
        <w:jc w:val="both"/>
        <w:rPr>
          <w:rFonts w:ascii="Arial" w:hAnsi="Arial" w:cs="Arial"/>
          <w:bCs/>
          <w:sz w:val="18"/>
          <w:szCs w:val="18"/>
        </w:rPr>
      </w:pPr>
      <w:r>
        <w:rPr>
          <w:rFonts w:ascii="Arial" w:hAnsi="Arial" w:cs="Arial"/>
          <w:bCs/>
          <w:sz w:val="18"/>
          <w:szCs w:val="18"/>
        </w:rPr>
        <w:t xml:space="preserve">Collect Blood specimen by venipuncture according to the standard procedure. </w:t>
      </w:r>
    </w:p>
    <w:p w14:paraId="616E7683">
      <w:pPr>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35083EC6">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6AA83CBE">
      <w:pPr>
        <w:numPr>
          <w:ilvl w:val="0"/>
          <w:numId w:val="4"/>
        </w:numPr>
        <w:tabs>
          <w:tab w:val="left" w:pos="360"/>
        </w:tabs>
        <w:jc w:val="both"/>
        <w:rPr>
          <w:rFonts w:ascii="Arial" w:hAnsi="Arial" w:cs="Arial"/>
          <w:bCs/>
          <w:sz w:val="18"/>
          <w:szCs w:val="18"/>
        </w:rPr>
      </w:pPr>
      <w:r>
        <w:rPr>
          <w:rFonts w:ascii="Arial" w:hAnsi="Arial" w:cs="Arial"/>
          <w:bCs/>
          <w:sz w:val="18"/>
          <w:szCs w:val="18"/>
        </w:rPr>
        <w:t>Preferably use fresh samples. However, specimens can be stored up to 48 hours at 2-8°C, for short duration.</w:t>
      </w:r>
    </w:p>
    <w:p w14:paraId="7CD082E4">
      <w:pPr>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7D98B621">
      <w:pPr>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33790B26">
      <w:pPr>
        <w:numPr>
          <w:ilvl w:val="0"/>
          <w:numId w:val="4"/>
        </w:numPr>
        <w:tabs>
          <w:tab w:val="left" w:pos="360"/>
        </w:tabs>
        <w:jc w:val="both"/>
        <w:rPr>
          <w:rFonts w:ascii="Arial" w:hAnsi="Arial" w:cs="Arial"/>
          <w:bCs/>
          <w:sz w:val="18"/>
          <w:szCs w:val="18"/>
        </w:rPr>
      </w:pPr>
      <w:r>
        <w:rPr>
          <w:rFonts w:ascii="Arial" w:hAnsi="Arial" w:cs="Arial"/>
          <w:bCs/>
          <w:sz w:val="18"/>
          <w:szCs w:val="18"/>
        </w:rPr>
        <w:t xml:space="preserve">Specimen containing precipitate or particulate matter should be clarified by centrifugation prior to use. </w:t>
      </w:r>
    </w:p>
    <w:p w14:paraId="0DC9E231">
      <w:pPr>
        <w:numPr>
          <w:ilvl w:val="0"/>
          <w:numId w:val="4"/>
        </w:numPr>
        <w:tabs>
          <w:tab w:val="left" w:pos="360"/>
        </w:tabs>
        <w:jc w:val="both"/>
        <w:rPr>
          <w:rFonts w:ascii="Arial" w:hAnsi="Arial" w:cs="Arial"/>
          <w:bCs/>
          <w:sz w:val="18"/>
          <w:szCs w:val="18"/>
        </w:rPr>
      </w:pPr>
      <w:r>
        <w:rPr>
          <w:rFonts w:ascii="Arial" w:hAnsi="Arial" w:cs="Arial"/>
          <w:bCs/>
          <w:sz w:val="18"/>
          <w:szCs w:val="18"/>
        </w:rPr>
        <w:t xml:space="preserve">Specimen should be free from particulate matter and microbial contamination. </w:t>
      </w:r>
    </w:p>
    <w:p w14:paraId="6835A846">
      <w:pPr>
        <w:tabs>
          <w:tab w:val="left" w:pos="360"/>
        </w:tabs>
        <w:ind w:left="405"/>
        <w:jc w:val="both"/>
        <w:rPr>
          <w:rFonts w:ascii="Arial" w:hAnsi="Arial" w:cs="Arial"/>
          <w:bCs/>
          <w:sz w:val="18"/>
          <w:szCs w:val="18"/>
        </w:rPr>
      </w:pPr>
    </w:p>
    <w:p w14:paraId="3D937DB1">
      <w:pPr>
        <w:tabs>
          <w:tab w:val="left" w:pos="360"/>
        </w:tabs>
        <w:ind w:left="405"/>
        <w:jc w:val="both"/>
        <w:rPr>
          <w:rFonts w:ascii="Arial" w:hAnsi="Arial" w:cs="Arial"/>
          <w:bCs/>
          <w:sz w:val="18"/>
          <w:szCs w:val="18"/>
        </w:rPr>
      </w:pPr>
      <w:r>
        <w:rPr>
          <w:rFonts w:ascii="Arial" w:hAnsi="Arial" w:cs="Arial"/>
          <w:bCs/>
          <w:sz w:val="18"/>
          <w:szCs w:val="18"/>
        </w:rPr>
        <w:t xml:space="preserve">PRECAUTIONS </w:t>
      </w:r>
    </w:p>
    <w:p w14:paraId="4D4677D0">
      <w:pPr>
        <w:numPr>
          <w:ilvl w:val="0"/>
          <w:numId w:val="5"/>
        </w:numPr>
        <w:tabs>
          <w:tab w:val="left" w:pos="360"/>
        </w:tabs>
        <w:jc w:val="both"/>
        <w:rPr>
          <w:rFonts w:ascii="Arial" w:hAnsi="Arial" w:cs="Arial"/>
          <w:bCs/>
          <w:sz w:val="18"/>
          <w:szCs w:val="18"/>
        </w:rPr>
      </w:pPr>
      <w:r>
        <w:rPr>
          <w:rFonts w:ascii="Arial" w:hAnsi="Arial" w:cs="Arial"/>
          <w:bCs/>
          <w:sz w:val="18"/>
          <w:szCs w:val="18"/>
        </w:rPr>
        <w:t>Bring all reagents and specimen to room temperature before use.</w:t>
      </w:r>
    </w:p>
    <w:p w14:paraId="7FBE4D4D">
      <w:pPr>
        <w:numPr>
          <w:ilvl w:val="0"/>
          <w:numId w:val="5"/>
        </w:numPr>
        <w:tabs>
          <w:tab w:val="left" w:pos="360"/>
        </w:tabs>
        <w:jc w:val="both"/>
        <w:rPr>
          <w:rFonts w:ascii="Arial" w:hAnsi="Arial" w:cs="Arial"/>
          <w:bCs/>
          <w:sz w:val="18"/>
          <w:szCs w:val="18"/>
        </w:rPr>
      </w:pPr>
      <w:r>
        <w:rPr>
          <w:rFonts w:ascii="Arial" w:hAnsi="Arial" w:cs="Arial"/>
          <w:bCs/>
          <w:sz w:val="18"/>
          <w:szCs w:val="18"/>
        </w:rPr>
        <w:t>Do not pipette any material by mouth</w:t>
      </w:r>
      <w:r>
        <w:rPr>
          <w:rFonts w:hint="default" w:ascii="Arial" w:hAnsi="Arial" w:cs="Arial"/>
          <w:bCs/>
          <w:sz w:val="18"/>
          <w:szCs w:val="18"/>
          <w:lang w:val="en-GB"/>
        </w:rPr>
        <w:t>.</w:t>
      </w:r>
    </w:p>
    <w:p w14:paraId="2F97CAFD">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5867A58">
      <w:pPr>
        <w:numPr>
          <w:ilvl w:val="0"/>
          <w:numId w:val="5"/>
        </w:numPr>
        <w:tabs>
          <w:tab w:val="left" w:pos="360"/>
        </w:tabs>
        <w:jc w:val="both"/>
        <w:rPr>
          <w:rFonts w:ascii="Arial" w:hAnsi="Arial" w:cs="Arial"/>
          <w:bCs/>
          <w:sz w:val="18"/>
          <w:szCs w:val="18"/>
        </w:rPr>
      </w:pPr>
      <w:r>
        <w:rPr>
          <w:rFonts w:ascii="Arial" w:hAnsi="Arial" w:cs="Arial"/>
          <w:bCs/>
          <w:sz w:val="18"/>
          <w:szCs w:val="18"/>
        </w:rPr>
        <w:t>Use protective clothing and wear gloves when handling samples.</w:t>
      </w:r>
    </w:p>
    <w:p w14:paraId="1FFAB9E4">
      <w:pPr>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0BB685F2">
      <w:pPr>
        <w:numPr>
          <w:ilvl w:val="0"/>
          <w:numId w:val="5"/>
        </w:numPr>
        <w:tabs>
          <w:tab w:val="left" w:pos="360"/>
        </w:tabs>
        <w:jc w:val="both"/>
        <w:rPr>
          <w:rFonts w:ascii="Arial" w:hAnsi="Arial" w:cs="Arial"/>
          <w:bCs/>
          <w:sz w:val="18"/>
          <w:szCs w:val="18"/>
        </w:rPr>
      </w:pPr>
      <w:r>
        <w:rPr>
          <w:rFonts w:ascii="Arial" w:hAnsi="Arial" w:cs="Arial"/>
          <w:bCs/>
          <w:sz w:val="18"/>
          <w:szCs w:val="18"/>
        </w:rPr>
        <w:t xml:space="preserve">Immediately clean up any spills with sodium hypochlorite. </w:t>
      </w:r>
    </w:p>
    <w:p w14:paraId="70117ED9">
      <w:pPr>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24B8B9CC">
      <w:pPr>
        <w:numPr>
          <w:ilvl w:val="0"/>
          <w:numId w:val="5"/>
        </w:numPr>
        <w:tabs>
          <w:tab w:val="left" w:pos="360"/>
        </w:tabs>
        <w:jc w:val="both"/>
        <w:rPr>
          <w:rFonts w:ascii="Arial" w:hAnsi="Arial" w:cs="Arial"/>
          <w:bCs/>
          <w:sz w:val="18"/>
          <w:szCs w:val="18"/>
        </w:rPr>
      </w:pPr>
      <w:r>
        <w:rPr>
          <w:rFonts w:ascii="Arial" w:hAnsi="Arial" w:cs="Arial"/>
          <w:bCs/>
          <w:sz w:val="18"/>
          <w:szCs w:val="18"/>
        </w:rPr>
        <w:t>Neutralize acid containing waste before adding hypochlorite.</w:t>
      </w:r>
    </w:p>
    <w:p w14:paraId="244CEBEE">
      <w:pPr>
        <w:numPr>
          <w:ilvl w:val="0"/>
          <w:numId w:val="5"/>
        </w:numPr>
        <w:tabs>
          <w:tab w:val="left" w:pos="360"/>
        </w:tabs>
        <w:jc w:val="both"/>
        <w:rPr>
          <w:rFonts w:ascii="Arial" w:hAnsi="Arial" w:cs="Arial"/>
          <w:bCs/>
          <w:sz w:val="18"/>
          <w:szCs w:val="18"/>
        </w:rPr>
      </w:pPr>
      <w:r>
        <w:rPr>
          <w:rFonts w:ascii="Arial" w:hAnsi="Arial" w:cs="Arial"/>
          <w:bCs/>
          <w:sz w:val="18"/>
          <w:szCs w:val="18"/>
        </w:rPr>
        <w:t>Do not use kit after the expiry date.</w:t>
      </w:r>
    </w:p>
    <w:p w14:paraId="4CEE79C4">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mix components of one kit with another. </w:t>
      </w:r>
    </w:p>
    <w:p w14:paraId="4D4AFD1F">
      <w:pPr>
        <w:numPr>
          <w:ilvl w:val="0"/>
          <w:numId w:val="5"/>
        </w:numPr>
        <w:tabs>
          <w:tab w:val="left" w:pos="360"/>
        </w:tabs>
        <w:jc w:val="both"/>
        <w:rPr>
          <w:rFonts w:ascii="Arial" w:hAnsi="Arial" w:cs="Arial"/>
          <w:bCs/>
          <w:sz w:val="18"/>
          <w:szCs w:val="18"/>
        </w:rPr>
      </w:pPr>
      <w:r>
        <w:rPr>
          <w:rFonts w:ascii="Arial" w:hAnsi="Arial" w:cs="Arial"/>
          <w:bCs/>
          <w:sz w:val="18"/>
          <w:szCs w:val="18"/>
        </w:rPr>
        <w:t>Always use new tip for each specimen and reagent.</w:t>
      </w:r>
    </w:p>
    <w:p w14:paraId="78C006E8">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01A7F299">
      <w:pPr>
        <w:numPr>
          <w:ilvl w:val="0"/>
          <w:numId w:val="5"/>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7C894988">
      <w:pPr>
        <w:tabs>
          <w:tab w:val="left" w:pos="360"/>
        </w:tabs>
        <w:ind w:hanging="744"/>
        <w:jc w:val="both"/>
        <w:rPr>
          <w:rFonts w:ascii="Arial" w:hAnsi="Arial" w:cs="Arial"/>
          <w:bCs/>
          <w:sz w:val="18"/>
          <w:szCs w:val="18"/>
        </w:rPr>
      </w:pPr>
    </w:p>
    <w:p w14:paraId="3D4A7714">
      <w:pPr>
        <w:tabs>
          <w:tab w:val="left" w:pos="360"/>
        </w:tabs>
        <w:ind w:left="360"/>
        <w:jc w:val="both"/>
        <w:rPr>
          <w:rFonts w:ascii="Arial" w:hAnsi="Arial" w:cs="Arial"/>
          <w:bCs/>
          <w:sz w:val="18"/>
          <w:szCs w:val="18"/>
        </w:rPr>
      </w:pPr>
      <w:r>
        <w:rPr>
          <w:rFonts w:ascii="Arial" w:hAnsi="Arial" w:cs="Arial"/>
          <w:bCs/>
          <w:sz w:val="18"/>
          <w:szCs w:val="18"/>
        </w:rPr>
        <w:t>REAGENT PREPARATION</w:t>
      </w:r>
    </w:p>
    <w:p w14:paraId="2B4FCD82">
      <w:pPr>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21507525">
      <w:pPr>
        <w:numPr>
          <w:ilvl w:val="0"/>
          <w:numId w:val="6"/>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7FED67E7">
      <w:pPr>
        <w:numPr>
          <w:ilvl w:val="0"/>
          <w:numId w:val="6"/>
        </w:numPr>
        <w:tabs>
          <w:tab w:val="left" w:pos="360"/>
        </w:tabs>
        <w:jc w:val="both"/>
        <w:rPr>
          <w:rFonts w:ascii="Arial" w:hAnsi="Arial" w:cs="Arial"/>
          <w:bCs/>
          <w:sz w:val="18"/>
          <w:szCs w:val="18"/>
        </w:rPr>
      </w:pPr>
      <w:r>
        <w:rPr>
          <w:rFonts w:ascii="Arial" w:hAnsi="Arial" w:cs="Arial"/>
          <w:bCs/>
          <w:sz w:val="18"/>
          <w:szCs w:val="18"/>
        </w:rPr>
        <w:t>Dilute enzyme conjugate with Conjugate diluent according to the requirement as shown below. Prepare a fresh dilution for each assay.</w:t>
      </w:r>
    </w:p>
    <w:p w14:paraId="40016939">
      <w:pPr>
        <w:numPr>
          <w:ilvl w:val="0"/>
          <w:numId w:val="6"/>
        </w:numPr>
        <w:tabs>
          <w:tab w:val="left" w:pos="360"/>
        </w:tabs>
        <w:jc w:val="both"/>
        <w:rPr>
          <w:rFonts w:ascii="Arial" w:hAnsi="Arial" w:cs="Arial"/>
          <w:bCs/>
          <w:sz w:val="18"/>
          <w:szCs w:val="18"/>
        </w:rPr>
      </w:pPr>
      <w:r>
        <w:rPr>
          <w:rFonts w:ascii="Arial" w:hAnsi="Arial" w:cs="Arial"/>
          <w:bCs/>
          <w:sz w:val="18"/>
          <w:szCs w:val="18"/>
        </w:rPr>
        <w:t>Since the reference standards and controls are lyophilized, reconstitute each standard and control with 0.5 ml distilled water. Allow the reconstituted material to stand for at least 20 minutes. Reconstituted standards and controls should be sealed and stored at 2-8°C.</w:t>
      </w:r>
    </w:p>
    <w:p w14:paraId="6BECAD4D">
      <w:pPr>
        <w:tabs>
          <w:tab w:val="left" w:pos="360"/>
        </w:tabs>
        <w:jc w:val="both"/>
        <w:rPr>
          <w:rFonts w:ascii="Arial" w:hAnsi="Arial" w:cs="Arial"/>
          <w:bCs/>
          <w:sz w:val="18"/>
          <w:szCs w:val="18"/>
        </w:rPr>
      </w:pPr>
    </w:p>
    <w:tbl>
      <w:tblPr>
        <w:tblStyle w:val="5"/>
        <w:tblW w:w="4568"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484"/>
        <w:gridCol w:w="542"/>
        <w:gridCol w:w="542"/>
        <w:gridCol w:w="542"/>
        <w:gridCol w:w="906"/>
        <w:gridCol w:w="709"/>
      </w:tblGrid>
      <w:tr w14:paraId="403D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843" w:type="dxa"/>
            <w:shd w:val="clear" w:color="auto" w:fill="auto"/>
          </w:tcPr>
          <w:p w14:paraId="112E885A">
            <w:pPr>
              <w:tabs>
                <w:tab w:val="left" w:pos="360"/>
              </w:tabs>
              <w:rPr>
                <w:rFonts w:ascii="Arial" w:hAnsi="Arial" w:cs="Arial"/>
                <w:bCs/>
                <w:sz w:val="12"/>
                <w:szCs w:val="12"/>
              </w:rPr>
            </w:pPr>
            <w:r>
              <w:rPr>
                <w:rFonts w:ascii="Arial" w:hAnsi="Arial" w:cs="Arial"/>
                <w:sz w:val="12"/>
                <w:szCs w:val="12"/>
              </w:rPr>
              <w:t>No. of Strips</w:t>
            </w:r>
          </w:p>
        </w:tc>
        <w:tc>
          <w:tcPr>
            <w:tcW w:w="484" w:type="dxa"/>
            <w:shd w:val="clear" w:color="auto" w:fill="auto"/>
          </w:tcPr>
          <w:p w14:paraId="25F8498C">
            <w:pPr>
              <w:tabs>
                <w:tab w:val="left" w:pos="360"/>
              </w:tabs>
              <w:jc w:val="both"/>
              <w:rPr>
                <w:rFonts w:ascii="Arial" w:hAnsi="Arial" w:cs="Arial"/>
                <w:bCs/>
                <w:sz w:val="12"/>
                <w:szCs w:val="12"/>
              </w:rPr>
            </w:pPr>
            <w:r>
              <w:rPr>
                <w:rFonts w:ascii="Arial" w:hAnsi="Arial" w:cs="Arial"/>
                <w:sz w:val="12"/>
                <w:szCs w:val="12"/>
              </w:rPr>
              <w:t>1</w:t>
            </w:r>
          </w:p>
        </w:tc>
        <w:tc>
          <w:tcPr>
            <w:tcW w:w="542" w:type="dxa"/>
            <w:shd w:val="clear" w:color="auto" w:fill="auto"/>
          </w:tcPr>
          <w:p w14:paraId="412A4817">
            <w:pPr>
              <w:tabs>
                <w:tab w:val="left" w:pos="360"/>
              </w:tabs>
              <w:jc w:val="both"/>
              <w:rPr>
                <w:rFonts w:ascii="Arial" w:hAnsi="Arial" w:cs="Arial"/>
                <w:bCs/>
                <w:sz w:val="12"/>
                <w:szCs w:val="12"/>
              </w:rPr>
            </w:pPr>
            <w:r>
              <w:rPr>
                <w:rFonts w:ascii="Arial" w:hAnsi="Arial" w:cs="Arial"/>
                <w:sz w:val="12"/>
                <w:szCs w:val="12"/>
              </w:rPr>
              <w:t>2</w:t>
            </w:r>
          </w:p>
        </w:tc>
        <w:tc>
          <w:tcPr>
            <w:tcW w:w="542" w:type="dxa"/>
            <w:shd w:val="clear" w:color="auto" w:fill="auto"/>
          </w:tcPr>
          <w:p w14:paraId="0E1C7818">
            <w:pPr>
              <w:tabs>
                <w:tab w:val="left" w:pos="360"/>
              </w:tabs>
              <w:jc w:val="both"/>
              <w:rPr>
                <w:rFonts w:ascii="Arial" w:hAnsi="Arial" w:cs="Arial"/>
                <w:bCs/>
                <w:sz w:val="12"/>
                <w:szCs w:val="12"/>
              </w:rPr>
            </w:pPr>
            <w:r>
              <w:rPr>
                <w:rFonts w:ascii="Arial" w:hAnsi="Arial" w:cs="Arial"/>
                <w:sz w:val="12"/>
                <w:szCs w:val="12"/>
              </w:rPr>
              <w:t>3</w:t>
            </w:r>
          </w:p>
        </w:tc>
        <w:tc>
          <w:tcPr>
            <w:tcW w:w="542" w:type="dxa"/>
            <w:shd w:val="clear" w:color="auto" w:fill="auto"/>
          </w:tcPr>
          <w:p w14:paraId="7537ED1C">
            <w:pPr>
              <w:tabs>
                <w:tab w:val="left" w:pos="360"/>
              </w:tabs>
              <w:jc w:val="both"/>
              <w:rPr>
                <w:rFonts w:ascii="Arial" w:hAnsi="Arial" w:cs="Arial"/>
                <w:bCs/>
                <w:sz w:val="12"/>
                <w:szCs w:val="12"/>
              </w:rPr>
            </w:pPr>
            <w:r>
              <w:rPr>
                <w:rFonts w:ascii="Arial" w:hAnsi="Arial" w:cs="Arial"/>
                <w:sz w:val="12"/>
                <w:szCs w:val="12"/>
              </w:rPr>
              <w:t>4</w:t>
            </w:r>
          </w:p>
        </w:tc>
        <w:tc>
          <w:tcPr>
            <w:tcW w:w="906" w:type="dxa"/>
            <w:shd w:val="clear" w:color="auto" w:fill="auto"/>
          </w:tcPr>
          <w:p w14:paraId="7D903471">
            <w:pPr>
              <w:tabs>
                <w:tab w:val="left" w:pos="360"/>
              </w:tabs>
              <w:jc w:val="both"/>
              <w:rPr>
                <w:rFonts w:ascii="Arial" w:hAnsi="Arial" w:cs="Arial"/>
                <w:sz w:val="12"/>
                <w:szCs w:val="12"/>
              </w:rPr>
            </w:pPr>
            <w:r>
              <w:rPr>
                <w:rFonts w:ascii="Arial" w:hAnsi="Arial" w:cs="Arial"/>
                <w:sz w:val="12"/>
                <w:szCs w:val="12"/>
              </w:rPr>
              <w:t>5</w:t>
            </w:r>
          </w:p>
        </w:tc>
        <w:tc>
          <w:tcPr>
            <w:tcW w:w="709" w:type="dxa"/>
            <w:shd w:val="clear" w:color="auto" w:fill="auto"/>
          </w:tcPr>
          <w:p w14:paraId="2038DB33">
            <w:pPr>
              <w:tabs>
                <w:tab w:val="left" w:pos="360"/>
              </w:tabs>
              <w:jc w:val="both"/>
              <w:rPr>
                <w:rFonts w:ascii="Arial" w:hAnsi="Arial" w:cs="Arial"/>
                <w:bCs/>
                <w:sz w:val="12"/>
                <w:szCs w:val="12"/>
              </w:rPr>
            </w:pPr>
            <w:r>
              <w:rPr>
                <w:rFonts w:ascii="Arial" w:hAnsi="Arial" w:cs="Arial"/>
                <w:sz w:val="12"/>
                <w:szCs w:val="12"/>
              </w:rPr>
              <w:t>6</w:t>
            </w:r>
          </w:p>
        </w:tc>
      </w:tr>
      <w:tr w14:paraId="364EA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843" w:type="dxa"/>
            <w:shd w:val="clear" w:color="auto" w:fill="auto"/>
          </w:tcPr>
          <w:p w14:paraId="22132031">
            <w:pPr>
              <w:tabs>
                <w:tab w:val="left" w:pos="360"/>
              </w:tabs>
              <w:rPr>
                <w:rFonts w:ascii="Arial" w:hAnsi="Arial" w:cs="Arial"/>
                <w:sz w:val="12"/>
                <w:szCs w:val="12"/>
              </w:rPr>
            </w:pPr>
            <w:r>
              <w:rPr>
                <w:rFonts w:ascii="Arial" w:hAnsi="Arial" w:cs="Arial"/>
                <w:sz w:val="12"/>
                <w:szCs w:val="12"/>
              </w:rPr>
              <w:t>Enzyme Conjugate</w:t>
            </w:r>
          </w:p>
          <w:p w14:paraId="52C6C341">
            <w:pPr>
              <w:tabs>
                <w:tab w:val="left" w:pos="360"/>
              </w:tabs>
              <w:rPr>
                <w:rFonts w:ascii="Arial" w:hAnsi="Arial" w:cs="Arial"/>
                <w:bCs/>
                <w:sz w:val="12"/>
                <w:szCs w:val="12"/>
              </w:rPr>
            </w:pPr>
            <w:r>
              <w:rPr>
                <w:rFonts w:ascii="Arial" w:hAnsi="Arial" w:cs="Arial"/>
                <w:sz w:val="12"/>
                <w:szCs w:val="12"/>
              </w:rPr>
              <w:t>(µl)</w:t>
            </w:r>
          </w:p>
        </w:tc>
        <w:tc>
          <w:tcPr>
            <w:tcW w:w="484" w:type="dxa"/>
            <w:shd w:val="clear" w:color="auto" w:fill="auto"/>
          </w:tcPr>
          <w:p w14:paraId="0541CFA3">
            <w:pPr>
              <w:tabs>
                <w:tab w:val="left" w:pos="360"/>
              </w:tabs>
              <w:jc w:val="both"/>
              <w:rPr>
                <w:rFonts w:ascii="Arial" w:hAnsi="Arial" w:cs="Arial"/>
                <w:bCs/>
                <w:sz w:val="12"/>
                <w:szCs w:val="12"/>
              </w:rPr>
            </w:pPr>
            <w:r>
              <w:rPr>
                <w:rFonts w:ascii="Arial" w:hAnsi="Arial" w:cs="Arial"/>
                <w:sz w:val="12"/>
                <w:szCs w:val="12"/>
              </w:rPr>
              <w:t>10</w:t>
            </w:r>
          </w:p>
        </w:tc>
        <w:tc>
          <w:tcPr>
            <w:tcW w:w="542" w:type="dxa"/>
            <w:shd w:val="clear" w:color="auto" w:fill="auto"/>
          </w:tcPr>
          <w:p w14:paraId="48C74CDF">
            <w:pPr>
              <w:tabs>
                <w:tab w:val="left" w:pos="360"/>
              </w:tabs>
              <w:jc w:val="both"/>
              <w:rPr>
                <w:rFonts w:ascii="Arial" w:hAnsi="Arial" w:cs="Arial"/>
                <w:bCs/>
                <w:sz w:val="12"/>
                <w:szCs w:val="12"/>
              </w:rPr>
            </w:pPr>
            <w:r>
              <w:rPr>
                <w:rFonts w:ascii="Arial" w:hAnsi="Arial" w:cs="Arial"/>
                <w:sz w:val="12"/>
                <w:szCs w:val="12"/>
              </w:rPr>
              <w:t>20</w:t>
            </w:r>
          </w:p>
        </w:tc>
        <w:tc>
          <w:tcPr>
            <w:tcW w:w="542" w:type="dxa"/>
            <w:shd w:val="clear" w:color="auto" w:fill="auto"/>
          </w:tcPr>
          <w:p w14:paraId="20DCEABE">
            <w:pPr>
              <w:tabs>
                <w:tab w:val="left" w:pos="360"/>
              </w:tabs>
              <w:jc w:val="both"/>
              <w:rPr>
                <w:rFonts w:ascii="Arial" w:hAnsi="Arial" w:cs="Arial"/>
                <w:bCs/>
                <w:sz w:val="12"/>
                <w:szCs w:val="12"/>
              </w:rPr>
            </w:pPr>
            <w:r>
              <w:rPr>
                <w:rFonts w:ascii="Arial" w:hAnsi="Arial" w:cs="Arial"/>
                <w:sz w:val="12"/>
                <w:szCs w:val="12"/>
              </w:rPr>
              <w:t>30</w:t>
            </w:r>
          </w:p>
        </w:tc>
        <w:tc>
          <w:tcPr>
            <w:tcW w:w="542" w:type="dxa"/>
            <w:shd w:val="clear" w:color="auto" w:fill="auto"/>
          </w:tcPr>
          <w:p w14:paraId="56264BCC">
            <w:pPr>
              <w:tabs>
                <w:tab w:val="left" w:pos="360"/>
              </w:tabs>
              <w:jc w:val="both"/>
              <w:rPr>
                <w:rFonts w:ascii="Arial" w:hAnsi="Arial" w:cs="Arial"/>
                <w:bCs/>
                <w:sz w:val="12"/>
                <w:szCs w:val="12"/>
              </w:rPr>
            </w:pPr>
            <w:r>
              <w:rPr>
                <w:rFonts w:ascii="Arial" w:hAnsi="Arial" w:cs="Arial"/>
                <w:sz w:val="12"/>
                <w:szCs w:val="12"/>
              </w:rPr>
              <w:t>35</w:t>
            </w:r>
          </w:p>
        </w:tc>
        <w:tc>
          <w:tcPr>
            <w:tcW w:w="906" w:type="dxa"/>
            <w:shd w:val="clear" w:color="auto" w:fill="auto"/>
          </w:tcPr>
          <w:p w14:paraId="1636A39C">
            <w:pPr>
              <w:tabs>
                <w:tab w:val="left" w:pos="360"/>
              </w:tabs>
              <w:jc w:val="both"/>
              <w:rPr>
                <w:rFonts w:ascii="Arial" w:hAnsi="Arial" w:cs="Arial"/>
                <w:bCs/>
                <w:sz w:val="12"/>
                <w:szCs w:val="12"/>
              </w:rPr>
            </w:pPr>
            <w:r>
              <w:rPr>
                <w:rFonts w:ascii="Arial" w:hAnsi="Arial" w:cs="Arial"/>
                <w:sz w:val="12"/>
                <w:szCs w:val="12"/>
              </w:rPr>
              <w:t>45</w:t>
            </w:r>
          </w:p>
        </w:tc>
        <w:tc>
          <w:tcPr>
            <w:tcW w:w="709" w:type="dxa"/>
            <w:shd w:val="clear" w:color="auto" w:fill="auto"/>
          </w:tcPr>
          <w:p w14:paraId="492F4A9F">
            <w:pPr>
              <w:tabs>
                <w:tab w:val="left" w:pos="360"/>
              </w:tabs>
              <w:jc w:val="both"/>
              <w:rPr>
                <w:rFonts w:ascii="Arial" w:hAnsi="Arial" w:cs="Arial"/>
                <w:bCs/>
                <w:sz w:val="12"/>
                <w:szCs w:val="12"/>
              </w:rPr>
            </w:pPr>
            <w:r>
              <w:rPr>
                <w:rFonts w:ascii="Arial" w:hAnsi="Arial" w:cs="Arial"/>
                <w:sz w:val="12"/>
                <w:szCs w:val="12"/>
              </w:rPr>
              <w:t>50</w:t>
            </w:r>
          </w:p>
        </w:tc>
      </w:tr>
      <w:tr w14:paraId="4E28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43" w:type="dxa"/>
            <w:shd w:val="clear" w:color="auto" w:fill="auto"/>
          </w:tcPr>
          <w:p w14:paraId="01DEB67B">
            <w:pPr>
              <w:tabs>
                <w:tab w:val="left" w:pos="360"/>
              </w:tabs>
              <w:rPr>
                <w:rFonts w:ascii="Arial" w:hAnsi="Arial" w:cs="Arial"/>
                <w:bCs/>
                <w:sz w:val="12"/>
                <w:szCs w:val="12"/>
              </w:rPr>
            </w:pPr>
            <w:r>
              <w:rPr>
                <w:rFonts w:ascii="Arial" w:hAnsi="Arial" w:cs="Arial"/>
                <w:sz w:val="12"/>
                <w:szCs w:val="12"/>
              </w:rPr>
              <w:t>Conjugate Diluent (µl)</w:t>
            </w:r>
          </w:p>
        </w:tc>
        <w:tc>
          <w:tcPr>
            <w:tcW w:w="484" w:type="dxa"/>
            <w:shd w:val="clear" w:color="auto" w:fill="auto"/>
          </w:tcPr>
          <w:p w14:paraId="40870F24">
            <w:pPr>
              <w:tabs>
                <w:tab w:val="left" w:pos="360"/>
              </w:tabs>
              <w:jc w:val="both"/>
              <w:rPr>
                <w:rFonts w:ascii="Arial" w:hAnsi="Arial" w:cs="Arial"/>
                <w:bCs/>
                <w:sz w:val="12"/>
                <w:szCs w:val="12"/>
              </w:rPr>
            </w:pPr>
            <w:r>
              <w:rPr>
                <w:rFonts w:ascii="Arial" w:hAnsi="Arial" w:cs="Arial"/>
                <w:sz w:val="12"/>
                <w:szCs w:val="12"/>
              </w:rPr>
              <w:t>1000</w:t>
            </w:r>
          </w:p>
        </w:tc>
        <w:tc>
          <w:tcPr>
            <w:tcW w:w="542" w:type="dxa"/>
            <w:shd w:val="clear" w:color="auto" w:fill="auto"/>
          </w:tcPr>
          <w:p w14:paraId="185CB1D8">
            <w:pPr>
              <w:tabs>
                <w:tab w:val="left" w:pos="360"/>
              </w:tabs>
              <w:jc w:val="both"/>
              <w:rPr>
                <w:rFonts w:ascii="Arial" w:hAnsi="Arial" w:cs="Arial"/>
                <w:bCs/>
                <w:sz w:val="12"/>
                <w:szCs w:val="12"/>
              </w:rPr>
            </w:pPr>
            <w:r>
              <w:rPr>
                <w:rFonts w:ascii="Arial" w:hAnsi="Arial" w:cs="Arial"/>
                <w:sz w:val="12"/>
                <w:szCs w:val="12"/>
              </w:rPr>
              <w:t>2000</w:t>
            </w:r>
          </w:p>
        </w:tc>
        <w:tc>
          <w:tcPr>
            <w:tcW w:w="542" w:type="dxa"/>
            <w:shd w:val="clear" w:color="auto" w:fill="auto"/>
          </w:tcPr>
          <w:p w14:paraId="371F762C">
            <w:pPr>
              <w:tabs>
                <w:tab w:val="left" w:pos="360"/>
              </w:tabs>
              <w:jc w:val="both"/>
              <w:rPr>
                <w:rFonts w:ascii="Arial" w:hAnsi="Arial" w:cs="Arial"/>
                <w:bCs/>
                <w:sz w:val="12"/>
                <w:szCs w:val="12"/>
              </w:rPr>
            </w:pPr>
            <w:r>
              <w:rPr>
                <w:rFonts w:ascii="Arial" w:hAnsi="Arial" w:cs="Arial"/>
                <w:sz w:val="12"/>
                <w:szCs w:val="12"/>
              </w:rPr>
              <w:t>3000</w:t>
            </w:r>
          </w:p>
        </w:tc>
        <w:tc>
          <w:tcPr>
            <w:tcW w:w="542" w:type="dxa"/>
            <w:shd w:val="clear" w:color="auto" w:fill="auto"/>
          </w:tcPr>
          <w:p w14:paraId="4D05537F">
            <w:pPr>
              <w:tabs>
                <w:tab w:val="left" w:pos="360"/>
              </w:tabs>
              <w:jc w:val="both"/>
              <w:rPr>
                <w:rFonts w:ascii="Arial" w:hAnsi="Arial" w:cs="Arial"/>
                <w:bCs/>
                <w:sz w:val="12"/>
                <w:szCs w:val="12"/>
              </w:rPr>
            </w:pPr>
            <w:r>
              <w:rPr>
                <w:rFonts w:ascii="Arial" w:hAnsi="Arial" w:cs="Arial"/>
                <w:sz w:val="12"/>
                <w:szCs w:val="12"/>
              </w:rPr>
              <w:t>3500</w:t>
            </w:r>
          </w:p>
        </w:tc>
        <w:tc>
          <w:tcPr>
            <w:tcW w:w="906" w:type="dxa"/>
            <w:shd w:val="clear" w:color="auto" w:fill="auto"/>
          </w:tcPr>
          <w:p w14:paraId="6060FCFC">
            <w:pPr>
              <w:tabs>
                <w:tab w:val="left" w:pos="360"/>
              </w:tabs>
              <w:jc w:val="both"/>
              <w:rPr>
                <w:rFonts w:ascii="Arial" w:hAnsi="Arial" w:cs="Arial"/>
                <w:bCs/>
                <w:sz w:val="12"/>
                <w:szCs w:val="12"/>
              </w:rPr>
            </w:pPr>
            <w:r>
              <w:rPr>
                <w:rFonts w:ascii="Arial" w:hAnsi="Arial" w:cs="Arial"/>
                <w:sz w:val="12"/>
                <w:szCs w:val="12"/>
              </w:rPr>
              <w:t>4500</w:t>
            </w:r>
          </w:p>
        </w:tc>
        <w:tc>
          <w:tcPr>
            <w:tcW w:w="709" w:type="dxa"/>
            <w:shd w:val="clear" w:color="auto" w:fill="auto"/>
          </w:tcPr>
          <w:p w14:paraId="03D64530">
            <w:pPr>
              <w:tabs>
                <w:tab w:val="left" w:pos="360"/>
              </w:tabs>
              <w:jc w:val="both"/>
              <w:rPr>
                <w:rFonts w:ascii="Arial" w:hAnsi="Arial" w:cs="Arial"/>
                <w:bCs/>
                <w:sz w:val="12"/>
                <w:szCs w:val="12"/>
              </w:rPr>
            </w:pPr>
            <w:r>
              <w:rPr>
                <w:rFonts w:ascii="Arial" w:hAnsi="Arial" w:cs="Arial"/>
                <w:sz w:val="12"/>
                <w:szCs w:val="12"/>
              </w:rPr>
              <w:t>5000</w:t>
            </w:r>
          </w:p>
        </w:tc>
      </w:tr>
    </w:tbl>
    <w:p w14:paraId="1571980B">
      <w:pPr>
        <w:tabs>
          <w:tab w:val="left" w:pos="360"/>
        </w:tabs>
        <w:ind w:left="360"/>
        <w:jc w:val="both"/>
        <w:rPr>
          <w:rFonts w:ascii="Arial" w:hAnsi="Arial" w:cs="Arial"/>
          <w:bCs/>
          <w:sz w:val="18"/>
          <w:szCs w:val="18"/>
        </w:rPr>
      </w:pPr>
    </w:p>
    <w:tbl>
      <w:tblPr>
        <w:tblStyle w:val="5"/>
        <w:tblW w:w="4568"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606"/>
        <w:gridCol w:w="567"/>
        <w:gridCol w:w="709"/>
        <w:gridCol w:w="567"/>
        <w:gridCol w:w="567"/>
        <w:gridCol w:w="709"/>
      </w:tblGrid>
      <w:tr w14:paraId="5FF53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843" w:type="dxa"/>
            <w:shd w:val="clear" w:color="auto" w:fill="auto"/>
          </w:tcPr>
          <w:p w14:paraId="41E29DC3">
            <w:pPr>
              <w:tabs>
                <w:tab w:val="left" w:pos="360"/>
              </w:tabs>
              <w:rPr>
                <w:rFonts w:ascii="Arial" w:hAnsi="Arial" w:cs="Arial"/>
                <w:bCs/>
                <w:sz w:val="12"/>
                <w:szCs w:val="12"/>
              </w:rPr>
            </w:pPr>
            <w:r>
              <w:rPr>
                <w:rFonts w:ascii="Arial" w:hAnsi="Arial" w:cs="Arial"/>
                <w:sz w:val="12"/>
                <w:szCs w:val="12"/>
              </w:rPr>
              <w:t>No. of Strips</w:t>
            </w:r>
          </w:p>
        </w:tc>
        <w:tc>
          <w:tcPr>
            <w:tcW w:w="606" w:type="dxa"/>
            <w:shd w:val="clear" w:color="auto" w:fill="auto"/>
          </w:tcPr>
          <w:p w14:paraId="2DCB0B6C">
            <w:pPr>
              <w:tabs>
                <w:tab w:val="left" w:pos="360"/>
              </w:tabs>
              <w:jc w:val="both"/>
              <w:rPr>
                <w:rFonts w:ascii="Arial" w:hAnsi="Arial" w:cs="Arial"/>
                <w:bCs/>
                <w:sz w:val="12"/>
                <w:szCs w:val="12"/>
              </w:rPr>
            </w:pPr>
            <w:r>
              <w:rPr>
                <w:rFonts w:ascii="Arial" w:hAnsi="Arial" w:cs="Arial"/>
                <w:bCs/>
                <w:sz w:val="12"/>
                <w:szCs w:val="12"/>
              </w:rPr>
              <w:t>7</w:t>
            </w:r>
          </w:p>
        </w:tc>
        <w:tc>
          <w:tcPr>
            <w:tcW w:w="567" w:type="dxa"/>
            <w:shd w:val="clear" w:color="auto" w:fill="auto"/>
          </w:tcPr>
          <w:p w14:paraId="6181EFF2">
            <w:pPr>
              <w:tabs>
                <w:tab w:val="left" w:pos="360"/>
              </w:tabs>
              <w:jc w:val="both"/>
              <w:rPr>
                <w:rFonts w:ascii="Arial" w:hAnsi="Arial" w:cs="Arial"/>
                <w:bCs/>
                <w:sz w:val="12"/>
                <w:szCs w:val="12"/>
              </w:rPr>
            </w:pPr>
            <w:r>
              <w:rPr>
                <w:rFonts w:ascii="Arial" w:hAnsi="Arial" w:cs="Arial"/>
                <w:bCs/>
                <w:sz w:val="12"/>
                <w:szCs w:val="12"/>
              </w:rPr>
              <w:t>8</w:t>
            </w:r>
          </w:p>
        </w:tc>
        <w:tc>
          <w:tcPr>
            <w:tcW w:w="709" w:type="dxa"/>
            <w:shd w:val="clear" w:color="auto" w:fill="auto"/>
          </w:tcPr>
          <w:p w14:paraId="50DEFC37">
            <w:pPr>
              <w:tabs>
                <w:tab w:val="left" w:pos="360"/>
              </w:tabs>
              <w:jc w:val="both"/>
              <w:rPr>
                <w:rFonts w:ascii="Arial" w:hAnsi="Arial" w:cs="Arial"/>
                <w:bCs/>
                <w:sz w:val="12"/>
                <w:szCs w:val="12"/>
              </w:rPr>
            </w:pPr>
            <w:r>
              <w:rPr>
                <w:rFonts w:ascii="Arial" w:hAnsi="Arial" w:cs="Arial"/>
                <w:bCs/>
                <w:sz w:val="12"/>
                <w:szCs w:val="12"/>
              </w:rPr>
              <w:t>9</w:t>
            </w:r>
          </w:p>
        </w:tc>
        <w:tc>
          <w:tcPr>
            <w:tcW w:w="567" w:type="dxa"/>
            <w:shd w:val="clear" w:color="auto" w:fill="auto"/>
          </w:tcPr>
          <w:p w14:paraId="157EBA00">
            <w:pPr>
              <w:tabs>
                <w:tab w:val="left" w:pos="360"/>
              </w:tabs>
              <w:jc w:val="both"/>
              <w:rPr>
                <w:rFonts w:ascii="Arial" w:hAnsi="Arial" w:cs="Arial"/>
                <w:bCs/>
                <w:sz w:val="12"/>
                <w:szCs w:val="12"/>
              </w:rPr>
            </w:pPr>
            <w:r>
              <w:rPr>
                <w:rFonts w:ascii="Arial" w:hAnsi="Arial" w:cs="Arial"/>
                <w:bCs/>
                <w:sz w:val="12"/>
                <w:szCs w:val="12"/>
              </w:rPr>
              <w:t>10</w:t>
            </w:r>
          </w:p>
        </w:tc>
        <w:tc>
          <w:tcPr>
            <w:tcW w:w="567" w:type="dxa"/>
            <w:shd w:val="clear" w:color="auto" w:fill="auto"/>
          </w:tcPr>
          <w:p w14:paraId="39B25AAE">
            <w:pPr>
              <w:tabs>
                <w:tab w:val="left" w:pos="360"/>
              </w:tabs>
              <w:jc w:val="both"/>
              <w:rPr>
                <w:rFonts w:ascii="Arial" w:hAnsi="Arial" w:cs="Arial"/>
                <w:bCs/>
                <w:sz w:val="12"/>
                <w:szCs w:val="12"/>
              </w:rPr>
            </w:pPr>
            <w:r>
              <w:rPr>
                <w:rFonts w:ascii="Arial" w:hAnsi="Arial" w:cs="Arial"/>
                <w:bCs/>
                <w:sz w:val="12"/>
                <w:szCs w:val="12"/>
              </w:rPr>
              <w:t>11</w:t>
            </w:r>
          </w:p>
        </w:tc>
        <w:tc>
          <w:tcPr>
            <w:tcW w:w="709" w:type="dxa"/>
            <w:shd w:val="clear" w:color="auto" w:fill="auto"/>
          </w:tcPr>
          <w:p w14:paraId="0A4DA666">
            <w:pPr>
              <w:tabs>
                <w:tab w:val="left" w:pos="360"/>
              </w:tabs>
              <w:jc w:val="both"/>
              <w:rPr>
                <w:rFonts w:ascii="Arial" w:hAnsi="Arial" w:cs="Arial"/>
                <w:bCs/>
                <w:sz w:val="12"/>
                <w:szCs w:val="12"/>
              </w:rPr>
            </w:pPr>
            <w:r>
              <w:rPr>
                <w:rFonts w:ascii="Arial" w:hAnsi="Arial" w:cs="Arial"/>
                <w:bCs/>
                <w:sz w:val="12"/>
                <w:szCs w:val="12"/>
              </w:rPr>
              <w:t>12</w:t>
            </w:r>
          </w:p>
        </w:tc>
      </w:tr>
      <w:tr w14:paraId="00D5D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843" w:type="dxa"/>
            <w:shd w:val="clear" w:color="auto" w:fill="auto"/>
          </w:tcPr>
          <w:p w14:paraId="5DDA905D">
            <w:pPr>
              <w:tabs>
                <w:tab w:val="left" w:pos="360"/>
              </w:tabs>
              <w:rPr>
                <w:rFonts w:ascii="Arial" w:hAnsi="Arial" w:cs="Arial"/>
                <w:sz w:val="12"/>
                <w:szCs w:val="12"/>
              </w:rPr>
            </w:pPr>
            <w:r>
              <w:rPr>
                <w:rFonts w:ascii="Arial" w:hAnsi="Arial" w:cs="Arial"/>
                <w:sz w:val="12"/>
                <w:szCs w:val="12"/>
              </w:rPr>
              <w:t>Enzyme Conjugate</w:t>
            </w:r>
          </w:p>
          <w:p w14:paraId="24E132BA">
            <w:pPr>
              <w:tabs>
                <w:tab w:val="left" w:pos="360"/>
              </w:tabs>
              <w:rPr>
                <w:rFonts w:ascii="Arial" w:hAnsi="Arial" w:cs="Arial"/>
                <w:bCs/>
                <w:sz w:val="12"/>
                <w:szCs w:val="12"/>
              </w:rPr>
            </w:pPr>
            <w:r>
              <w:rPr>
                <w:rFonts w:ascii="Arial" w:hAnsi="Arial" w:cs="Arial"/>
                <w:sz w:val="12"/>
                <w:szCs w:val="12"/>
              </w:rPr>
              <w:t>(µl)</w:t>
            </w:r>
          </w:p>
        </w:tc>
        <w:tc>
          <w:tcPr>
            <w:tcW w:w="606" w:type="dxa"/>
            <w:shd w:val="clear" w:color="auto" w:fill="auto"/>
          </w:tcPr>
          <w:p w14:paraId="6E63D578">
            <w:pPr>
              <w:tabs>
                <w:tab w:val="left" w:pos="360"/>
              </w:tabs>
              <w:jc w:val="both"/>
              <w:rPr>
                <w:rFonts w:ascii="Arial" w:hAnsi="Arial" w:cs="Arial"/>
                <w:bCs/>
                <w:sz w:val="12"/>
                <w:szCs w:val="12"/>
              </w:rPr>
            </w:pPr>
            <w:r>
              <w:rPr>
                <w:rFonts w:ascii="Arial" w:hAnsi="Arial" w:cs="Arial"/>
                <w:bCs/>
                <w:sz w:val="12"/>
                <w:szCs w:val="12"/>
              </w:rPr>
              <w:t>60</w:t>
            </w:r>
          </w:p>
        </w:tc>
        <w:tc>
          <w:tcPr>
            <w:tcW w:w="567" w:type="dxa"/>
            <w:shd w:val="clear" w:color="auto" w:fill="auto"/>
          </w:tcPr>
          <w:p w14:paraId="07015CE0">
            <w:pPr>
              <w:tabs>
                <w:tab w:val="left" w:pos="360"/>
              </w:tabs>
              <w:jc w:val="both"/>
              <w:rPr>
                <w:rFonts w:ascii="Arial" w:hAnsi="Arial" w:cs="Arial"/>
                <w:bCs/>
                <w:sz w:val="12"/>
                <w:szCs w:val="12"/>
              </w:rPr>
            </w:pPr>
            <w:r>
              <w:rPr>
                <w:rFonts w:ascii="Arial" w:hAnsi="Arial" w:cs="Arial"/>
                <w:bCs/>
                <w:sz w:val="12"/>
                <w:szCs w:val="12"/>
              </w:rPr>
              <w:t xml:space="preserve"> 70</w:t>
            </w:r>
          </w:p>
        </w:tc>
        <w:tc>
          <w:tcPr>
            <w:tcW w:w="709" w:type="dxa"/>
            <w:shd w:val="clear" w:color="auto" w:fill="auto"/>
          </w:tcPr>
          <w:p w14:paraId="5A54AFA7">
            <w:pPr>
              <w:tabs>
                <w:tab w:val="left" w:pos="360"/>
              </w:tabs>
              <w:jc w:val="both"/>
              <w:rPr>
                <w:rFonts w:ascii="Arial" w:hAnsi="Arial" w:cs="Arial"/>
                <w:bCs/>
                <w:sz w:val="12"/>
                <w:szCs w:val="12"/>
              </w:rPr>
            </w:pPr>
            <w:r>
              <w:rPr>
                <w:rFonts w:ascii="Arial" w:hAnsi="Arial" w:cs="Arial"/>
                <w:bCs/>
                <w:sz w:val="12"/>
                <w:szCs w:val="12"/>
              </w:rPr>
              <w:t>75</w:t>
            </w:r>
          </w:p>
        </w:tc>
        <w:tc>
          <w:tcPr>
            <w:tcW w:w="567" w:type="dxa"/>
            <w:shd w:val="clear" w:color="auto" w:fill="auto"/>
          </w:tcPr>
          <w:p w14:paraId="7DE36EEF">
            <w:pPr>
              <w:tabs>
                <w:tab w:val="left" w:pos="360"/>
              </w:tabs>
              <w:jc w:val="both"/>
              <w:rPr>
                <w:rFonts w:ascii="Arial" w:hAnsi="Arial" w:cs="Arial"/>
                <w:bCs/>
                <w:sz w:val="12"/>
                <w:szCs w:val="12"/>
              </w:rPr>
            </w:pPr>
            <w:r>
              <w:rPr>
                <w:rFonts w:ascii="Arial" w:hAnsi="Arial" w:cs="Arial"/>
                <w:bCs/>
                <w:sz w:val="12"/>
                <w:szCs w:val="12"/>
              </w:rPr>
              <w:t>85</w:t>
            </w:r>
          </w:p>
        </w:tc>
        <w:tc>
          <w:tcPr>
            <w:tcW w:w="567" w:type="dxa"/>
            <w:shd w:val="clear" w:color="auto" w:fill="auto"/>
          </w:tcPr>
          <w:p w14:paraId="1923BBCA">
            <w:pPr>
              <w:tabs>
                <w:tab w:val="left" w:pos="360"/>
              </w:tabs>
              <w:jc w:val="both"/>
              <w:rPr>
                <w:rFonts w:ascii="Arial" w:hAnsi="Arial" w:cs="Arial"/>
                <w:bCs/>
                <w:sz w:val="12"/>
                <w:szCs w:val="12"/>
              </w:rPr>
            </w:pPr>
            <w:r>
              <w:rPr>
                <w:rFonts w:ascii="Arial" w:hAnsi="Arial" w:cs="Arial"/>
                <w:bCs/>
                <w:sz w:val="12"/>
                <w:szCs w:val="12"/>
              </w:rPr>
              <w:t>90</w:t>
            </w:r>
          </w:p>
        </w:tc>
        <w:tc>
          <w:tcPr>
            <w:tcW w:w="709" w:type="dxa"/>
            <w:shd w:val="clear" w:color="auto" w:fill="auto"/>
          </w:tcPr>
          <w:p w14:paraId="0AE7FCB1">
            <w:pPr>
              <w:tabs>
                <w:tab w:val="left" w:pos="360"/>
              </w:tabs>
              <w:jc w:val="both"/>
              <w:rPr>
                <w:rFonts w:ascii="Arial" w:hAnsi="Arial" w:cs="Arial"/>
                <w:bCs/>
                <w:sz w:val="12"/>
                <w:szCs w:val="12"/>
              </w:rPr>
            </w:pPr>
            <w:r>
              <w:rPr>
                <w:rFonts w:ascii="Arial" w:hAnsi="Arial" w:cs="Arial"/>
                <w:bCs/>
                <w:sz w:val="12"/>
                <w:szCs w:val="12"/>
              </w:rPr>
              <w:t>100</w:t>
            </w:r>
          </w:p>
        </w:tc>
      </w:tr>
      <w:tr w14:paraId="67CAC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43" w:type="dxa"/>
            <w:shd w:val="clear" w:color="auto" w:fill="auto"/>
          </w:tcPr>
          <w:p w14:paraId="25B20237">
            <w:pPr>
              <w:tabs>
                <w:tab w:val="left" w:pos="360"/>
              </w:tabs>
              <w:rPr>
                <w:rFonts w:ascii="Arial" w:hAnsi="Arial" w:cs="Arial"/>
                <w:bCs/>
                <w:sz w:val="12"/>
                <w:szCs w:val="12"/>
              </w:rPr>
            </w:pPr>
            <w:r>
              <w:rPr>
                <w:rFonts w:ascii="Arial" w:hAnsi="Arial" w:cs="Arial"/>
                <w:sz w:val="12"/>
                <w:szCs w:val="12"/>
              </w:rPr>
              <w:t>Conjugate Diluent (µl)</w:t>
            </w:r>
          </w:p>
        </w:tc>
        <w:tc>
          <w:tcPr>
            <w:tcW w:w="606" w:type="dxa"/>
            <w:shd w:val="clear" w:color="auto" w:fill="auto"/>
          </w:tcPr>
          <w:p w14:paraId="390BBB45">
            <w:pPr>
              <w:tabs>
                <w:tab w:val="left" w:pos="360"/>
              </w:tabs>
              <w:jc w:val="both"/>
              <w:rPr>
                <w:rFonts w:ascii="Arial" w:hAnsi="Arial" w:cs="Arial"/>
                <w:bCs/>
                <w:sz w:val="12"/>
                <w:szCs w:val="12"/>
              </w:rPr>
            </w:pPr>
            <w:r>
              <w:rPr>
                <w:rFonts w:ascii="Arial" w:hAnsi="Arial" w:cs="Arial"/>
                <w:bCs/>
                <w:sz w:val="12"/>
                <w:szCs w:val="12"/>
              </w:rPr>
              <w:t>6000</w:t>
            </w:r>
          </w:p>
        </w:tc>
        <w:tc>
          <w:tcPr>
            <w:tcW w:w="567" w:type="dxa"/>
            <w:shd w:val="clear" w:color="auto" w:fill="auto"/>
          </w:tcPr>
          <w:p w14:paraId="121C0965">
            <w:pPr>
              <w:tabs>
                <w:tab w:val="left" w:pos="360"/>
              </w:tabs>
              <w:jc w:val="both"/>
              <w:rPr>
                <w:rFonts w:ascii="Arial" w:hAnsi="Arial" w:cs="Arial"/>
                <w:bCs/>
                <w:sz w:val="12"/>
                <w:szCs w:val="12"/>
              </w:rPr>
            </w:pPr>
            <w:r>
              <w:rPr>
                <w:rFonts w:ascii="Arial" w:hAnsi="Arial" w:cs="Arial"/>
                <w:bCs/>
                <w:sz w:val="12"/>
                <w:szCs w:val="12"/>
              </w:rPr>
              <w:t>7000</w:t>
            </w:r>
          </w:p>
        </w:tc>
        <w:tc>
          <w:tcPr>
            <w:tcW w:w="709" w:type="dxa"/>
            <w:shd w:val="clear" w:color="auto" w:fill="auto"/>
          </w:tcPr>
          <w:p w14:paraId="58A10FDA">
            <w:pPr>
              <w:tabs>
                <w:tab w:val="left" w:pos="360"/>
              </w:tabs>
              <w:jc w:val="both"/>
              <w:rPr>
                <w:rFonts w:ascii="Arial" w:hAnsi="Arial" w:cs="Arial"/>
                <w:bCs/>
                <w:sz w:val="12"/>
                <w:szCs w:val="12"/>
              </w:rPr>
            </w:pPr>
            <w:r>
              <w:rPr>
                <w:rFonts w:ascii="Arial" w:hAnsi="Arial" w:cs="Arial"/>
                <w:bCs/>
                <w:sz w:val="12"/>
                <w:szCs w:val="12"/>
              </w:rPr>
              <w:t>7500</w:t>
            </w:r>
          </w:p>
        </w:tc>
        <w:tc>
          <w:tcPr>
            <w:tcW w:w="567" w:type="dxa"/>
            <w:shd w:val="clear" w:color="auto" w:fill="auto"/>
          </w:tcPr>
          <w:p w14:paraId="35EA05D2">
            <w:pPr>
              <w:tabs>
                <w:tab w:val="left" w:pos="360"/>
              </w:tabs>
              <w:jc w:val="both"/>
              <w:rPr>
                <w:rFonts w:ascii="Arial" w:hAnsi="Arial" w:cs="Arial"/>
                <w:bCs/>
                <w:sz w:val="12"/>
                <w:szCs w:val="12"/>
              </w:rPr>
            </w:pPr>
            <w:r>
              <w:rPr>
                <w:rFonts w:ascii="Arial" w:hAnsi="Arial" w:cs="Arial"/>
                <w:bCs/>
                <w:sz w:val="12"/>
                <w:szCs w:val="12"/>
              </w:rPr>
              <w:t>8500</w:t>
            </w:r>
          </w:p>
        </w:tc>
        <w:tc>
          <w:tcPr>
            <w:tcW w:w="567" w:type="dxa"/>
            <w:shd w:val="clear" w:color="auto" w:fill="auto"/>
          </w:tcPr>
          <w:p w14:paraId="6DEE2B25">
            <w:pPr>
              <w:tabs>
                <w:tab w:val="left" w:pos="360"/>
              </w:tabs>
              <w:jc w:val="both"/>
              <w:rPr>
                <w:rFonts w:ascii="Arial" w:hAnsi="Arial" w:cs="Arial"/>
                <w:bCs/>
                <w:sz w:val="12"/>
                <w:szCs w:val="12"/>
              </w:rPr>
            </w:pPr>
            <w:r>
              <w:rPr>
                <w:rFonts w:ascii="Arial" w:hAnsi="Arial" w:cs="Arial"/>
                <w:bCs/>
                <w:sz w:val="12"/>
                <w:szCs w:val="12"/>
              </w:rPr>
              <w:t>9000</w:t>
            </w:r>
          </w:p>
        </w:tc>
        <w:tc>
          <w:tcPr>
            <w:tcW w:w="709" w:type="dxa"/>
            <w:shd w:val="clear" w:color="auto" w:fill="auto"/>
          </w:tcPr>
          <w:p w14:paraId="64FA0CD2">
            <w:pPr>
              <w:tabs>
                <w:tab w:val="left" w:pos="360"/>
              </w:tabs>
              <w:jc w:val="both"/>
              <w:rPr>
                <w:rFonts w:ascii="Arial" w:hAnsi="Arial" w:cs="Arial"/>
                <w:bCs/>
                <w:sz w:val="12"/>
                <w:szCs w:val="12"/>
              </w:rPr>
            </w:pPr>
            <w:r>
              <w:rPr>
                <w:rFonts w:ascii="Arial" w:hAnsi="Arial" w:cs="Arial"/>
                <w:bCs/>
                <w:sz w:val="12"/>
                <w:szCs w:val="12"/>
              </w:rPr>
              <w:t>10000</w:t>
            </w:r>
          </w:p>
        </w:tc>
      </w:tr>
    </w:tbl>
    <w:p w14:paraId="686118CF">
      <w:pPr>
        <w:tabs>
          <w:tab w:val="left" w:pos="360"/>
        </w:tabs>
        <w:ind w:left="360"/>
        <w:jc w:val="both"/>
        <w:rPr>
          <w:rFonts w:ascii="Arial" w:hAnsi="Arial" w:cs="Arial"/>
          <w:bCs/>
          <w:sz w:val="18"/>
          <w:szCs w:val="18"/>
        </w:rPr>
      </w:pPr>
    </w:p>
    <w:p w14:paraId="7001B203">
      <w:pPr>
        <w:tabs>
          <w:tab w:val="left" w:pos="360"/>
        </w:tabs>
        <w:ind w:left="360"/>
        <w:jc w:val="both"/>
        <w:rPr>
          <w:rFonts w:ascii="Arial" w:hAnsi="Arial" w:cs="Arial"/>
          <w:bCs/>
          <w:sz w:val="18"/>
          <w:szCs w:val="18"/>
        </w:rPr>
      </w:pPr>
    </w:p>
    <w:p w14:paraId="604658AE">
      <w:pPr>
        <w:tabs>
          <w:tab w:val="left" w:pos="360"/>
        </w:tabs>
        <w:ind w:left="360"/>
        <w:jc w:val="both"/>
        <w:rPr>
          <w:rFonts w:ascii="Arial" w:hAnsi="Arial" w:cs="Arial"/>
          <w:bCs/>
          <w:sz w:val="18"/>
          <w:szCs w:val="18"/>
        </w:rPr>
      </w:pPr>
      <w:r>
        <w:rPr>
          <w:rFonts w:ascii="Arial" w:hAnsi="Arial" w:cs="Arial"/>
          <w:bCs/>
          <w:sz w:val="18"/>
          <w:szCs w:val="18"/>
        </w:rPr>
        <w:t>TEST PROCEDURE</w:t>
      </w:r>
    </w:p>
    <w:p w14:paraId="72BE39E7">
      <w:pPr>
        <w:numPr>
          <w:ilvl w:val="0"/>
          <w:numId w:val="7"/>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50 µl of standards, controls and sera into the appropriate wells. </w:t>
      </w:r>
    </w:p>
    <w:p w14:paraId="18CEFA34">
      <w:pPr>
        <w:numPr>
          <w:ilvl w:val="0"/>
          <w:numId w:val="7"/>
        </w:numPr>
        <w:tabs>
          <w:tab w:val="left" w:pos="360"/>
        </w:tabs>
        <w:jc w:val="both"/>
        <w:rPr>
          <w:rFonts w:ascii="Arial" w:hAnsi="Arial" w:cs="Arial"/>
          <w:bCs/>
          <w:sz w:val="18"/>
          <w:szCs w:val="18"/>
        </w:rPr>
      </w:pPr>
      <w:r>
        <w:rPr>
          <w:rFonts w:ascii="Arial" w:hAnsi="Arial" w:cs="Arial"/>
          <w:bCs/>
          <w:sz w:val="18"/>
          <w:szCs w:val="18"/>
        </w:rPr>
        <w:t>Dispense 50 µl of Sample Diluent into each well. Incubate at room temperature (18-25°C) for 60 minutes.</w:t>
      </w:r>
    </w:p>
    <w:p w14:paraId="3E7E8DC5">
      <w:pPr>
        <w:numPr>
          <w:ilvl w:val="0"/>
          <w:numId w:val="7"/>
        </w:numPr>
        <w:tabs>
          <w:tab w:val="left" w:pos="360"/>
        </w:tabs>
        <w:jc w:val="both"/>
        <w:rPr>
          <w:rFonts w:ascii="Arial" w:hAnsi="Arial" w:cs="Arial"/>
          <w:bCs/>
          <w:sz w:val="18"/>
          <w:szCs w:val="18"/>
        </w:rPr>
      </w:pPr>
      <w:r>
        <w:rPr>
          <w:rFonts w:ascii="Arial" w:hAnsi="Arial" w:cs="Arial"/>
          <w:bCs/>
          <w:sz w:val="18"/>
          <w:szCs w:val="18"/>
        </w:rPr>
        <w:t>After incubation, empty the microtitre wells and wash the plate 5 times with 350 µl of diluted wash buffer. Strike the microtitre plate sharply onto the absorbent paper towel to remove all residual droplets.</w:t>
      </w:r>
    </w:p>
    <w:p w14:paraId="73F9F781">
      <w:pPr>
        <w:numPr>
          <w:ilvl w:val="0"/>
          <w:numId w:val="7"/>
        </w:numPr>
        <w:tabs>
          <w:tab w:val="left" w:pos="360"/>
        </w:tabs>
        <w:jc w:val="both"/>
        <w:rPr>
          <w:rFonts w:ascii="Arial" w:hAnsi="Arial" w:cs="Arial"/>
          <w:bCs/>
          <w:sz w:val="18"/>
          <w:szCs w:val="18"/>
        </w:rPr>
      </w:pPr>
      <w:r>
        <w:rPr>
          <w:rFonts w:ascii="Arial" w:hAnsi="Arial" w:cs="Arial"/>
          <w:bCs/>
          <w:sz w:val="18"/>
          <w:szCs w:val="18"/>
        </w:rPr>
        <w:t xml:space="preserve">Dispense 100 µl of diluted Enzyme Conjugate into each well. Incubate at room temperature (18-25°C) for 60 minutes. </w:t>
      </w:r>
    </w:p>
    <w:p w14:paraId="7C422469">
      <w:pPr>
        <w:numPr>
          <w:ilvl w:val="0"/>
          <w:numId w:val="7"/>
        </w:numPr>
        <w:tabs>
          <w:tab w:val="left" w:pos="360"/>
        </w:tabs>
        <w:jc w:val="both"/>
        <w:rPr>
          <w:rFonts w:ascii="Arial" w:hAnsi="Arial" w:cs="Arial"/>
          <w:bCs/>
          <w:sz w:val="18"/>
          <w:szCs w:val="18"/>
        </w:rPr>
      </w:pPr>
      <w:r>
        <w:rPr>
          <w:rFonts w:ascii="Arial" w:hAnsi="Arial" w:cs="Arial"/>
          <w:bCs/>
          <w:sz w:val="18"/>
          <w:szCs w:val="18"/>
        </w:rPr>
        <w:t xml:space="preserve">After incubation, empty the microtitre wells and wash the plate 5 times with 350 µl of diluted wash buffer. Strike the microtitre plate sharply onto the absorbent paper towel to remove all residual droplets. </w:t>
      </w:r>
    </w:p>
    <w:p w14:paraId="25DC2FFE">
      <w:pPr>
        <w:numPr>
          <w:ilvl w:val="0"/>
          <w:numId w:val="7"/>
        </w:numPr>
        <w:tabs>
          <w:tab w:val="left" w:pos="360"/>
        </w:tabs>
        <w:jc w:val="both"/>
        <w:rPr>
          <w:rFonts w:ascii="Arial" w:hAnsi="Arial" w:cs="Arial"/>
          <w:bCs/>
          <w:sz w:val="18"/>
          <w:szCs w:val="18"/>
        </w:rPr>
      </w:pPr>
      <w:r>
        <w:rPr>
          <w:rFonts w:ascii="Arial" w:hAnsi="Arial" w:cs="Arial"/>
          <w:bCs/>
          <w:sz w:val="18"/>
          <w:szCs w:val="18"/>
        </w:rPr>
        <w:t xml:space="preserve"> Dispense 100 µl of TMB Substrate into each well. Incubate at room temperature (18-25°C), in the dark, for 20 minutes. </w:t>
      </w:r>
    </w:p>
    <w:p w14:paraId="643C3A94">
      <w:pPr>
        <w:numPr>
          <w:ilvl w:val="0"/>
          <w:numId w:val="7"/>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52BDA94B">
      <w:pPr>
        <w:numPr>
          <w:ilvl w:val="0"/>
          <w:numId w:val="7"/>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tbl>
      <w:tblPr>
        <w:tblStyle w:val="5"/>
        <w:tblpPr w:leftFromText="180" w:rightFromText="180" w:vertAnchor="text" w:horzAnchor="page" w:tblpX="6299" w:tblpY="14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49"/>
      </w:tblGrid>
      <w:tr w14:paraId="4A70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9" w:type="dxa"/>
            <w:shd w:val="clear" w:color="auto" w:fill="auto"/>
          </w:tcPr>
          <w:p w14:paraId="170B51CB">
            <w:pPr>
              <w:tabs>
                <w:tab w:val="left" w:pos="360"/>
              </w:tabs>
              <w:jc w:val="both"/>
              <w:rPr>
                <w:rFonts w:ascii="Arial" w:hAnsi="Arial" w:cs="Arial"/>
                <w:bCs/>
                <w:sz w:val="18"/>
                <w:szCs w:val="18"/>
              </w:rPr>
            </w:pPr>
            <w:r>
              <w:rPr>
                <w:rFonts w:ascii="Arial" w:hAnsi="Arial" w:cs="Arial"/>
                <w:bCs/>
                <w:sz w:val="18"/>
                <w:szCs w:val="18"/>
              </w:rPr>
              <w:t>Add 50 µl Standards/controls/samples into the respective Microwells</w:t>
            </w:r>
          </w:p>
        </w:tc>
      </w:tr>
    </w:tbl>
    <w:p w14:paraId="0C4E84BA">
      <w:pPr>
        <w:tabs>
          <w:tab w:val="left" w:pos="360"/>
        </w:tabs>
        <w:jc w:val="both"/>
        <w:rPr>
          <w:rFonts w:ascii="Arial" w:hAnsi="Arial" w:cs="Arial"/>
          <w:bCs/>
          <w:sz w:val="18"/>
          <w:szCs w:val="18"/>
        </w:rPr>
      </w:pPr>
      <w:r>
        <w:rPr>
          <w:rFonts w:ascii="Arial" w:hAnsi="Arial" w:cs="Arial"/>
          <w:bCs/>
          <w:sz w:val="18"/>
          <w:szCs w:val="18"/>
        </w:rPr>
        <w:pict>
          <v:shape id="_x0000_s1068" o:spid="_x0000_s1068" o:spt="67" type="#_x0000_t67" style="position:absolute;left:0pt;margin-left:99.95pt;margin-top:31.7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6798565E">
      <w:pPr>
        <w:tabs>
          <w:tab w:val="left" w:pos="360"/>
        </w:tabs>
        <w:ind w:left="360" w:hanging="360"/>
        <w:jc w:val="both"/>
        <w:rPr>
          <w:rFonts w:ascii="Arial" w:hAnsi="Arial" w:cs="Arial"/>
          <w:bCs/>
          <w:sz w:val="18"/>
          <w:szCs w:val="18"/>
        </w:rPr>
      </w:pPr>
    </w:p>
    <w:tbl>
      <w:tblPr>
        <w:tblStyle w:val="5"/>
        <w:tblpPr w:leftFromText="180" w:rightFromText="180" w:vertAnchor="text" w:horzAnchor="page" w:tblpX="6342" w:tblpY="15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6"/>
      </w:tblGrid>
      <w:tr w14:paraId="448EA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6" w:type="dxa"/>
            <w:shd w:val="clear" w:color="auto" w:fill="auto"/>
          </w:tcPr>
          <w:p w14:paraId="47BF9D82">
            <w:pPr>
              <w:tabs>
                <w:tab w:val="left" w:pos="360"/>
              </w:tabs>
              <w:jc w:val="both"/>
              <w:rPr>
                <w:rFonts w:ascii="Arial" w:hAnsi="Arial" w:cs="Arial"/>
                <w:bCs/>
                <w:sz w:val="18"/>
                <w:szCs w:val="18"/>
              </w:rPr>
            </w:pPr>
            <w:r>
              <w:rPr>
                <w:rFonts w:ascii="Arial" w:hAnsi="Arial" w:cs="Arial"/>
                <w:bCs/>
                <w:sz w:val="18"/>
                <w:szCs w:val="18"/>
              </w:rPr>
              <w:t>Add 50 µl of Sample Diluent into each well</w:t>
            </w:r>
          </w:p>
        </w:tc>
      </w:tr>
    </w:tbl>
    <w:p w14:paraId="571CE6B7">
      <w:pPr>
        <w:tabs>
          <w:tab w:val="left" w:pos="360"/>
        </w:tabs>
        <w:ind w:left="360" w:hanging="360"/>
        <w:jc w:val="both"/>
        <w:rPr>
          <w:rFonts w:ascii="Arial" w:hAnsi="Arial" w:cs="Arial"/>
          <w:bCs/>
          <w:sz w:val="18"/>
          <w:szCs w:val="18"/>
        </w:rPr>
      </w:pPr>
      <w:r>
        <w:rPr>
          <w:rFonts w:ascii="Arial" w:hAnsi="Arial" w:cs="Arial"/>
          <w:bCs/>
          <w:sz w:val="18"/>
          <w:szCs w:val="18"/>
        </w:rPr>
        <w:pict>
          <v:shape id="_x0000_s1069" o:spid="_x0000_s1069" o:spt="67" type="#_x0000_t67" style="position:absolute;left:0pt;margin-left:99.85pt;margin-top:22.2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F4999DB">
      <w:pPr>
        <w:tabs>
          <w:tab w:val="left" w:pos="360"/>
        </w:tabs>
        <w:ind w:left="360" w:hanging="360"/>
        <w:jc w:val="both"/>
        <w:rPr>
          <w:rFonts w:ascii="Arial" w:hAnsi="Arial" w:cs="Arial"/>
          <w:bCs/>
          <w:sz w:val="18"/>
          <w:szCs w:val="18"/>
        </w:rPr>
      </w:pPr>
    </w:p>
    <w:tbl>
      <w:tblPr>
        <w:tblStyle w:val="5"/>
        <w:tblpPr w:leftFromText="180" w:rightFromText="180" w:vertAnchor="text" w:horzAnchor="page" w:tblpX="6403" w:tblpY="1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6"/>
      </w:tblGrid>
      <w:tr w14:paraId="5C32C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6" w:type="dxa"/>
            <w:shd w:val="clear" w:color="auto" w:fill="auto"/>
          </w:tcPr>
          <w:p w14:paraId="7085EF70">
            <w:pPr>
              <w:tabs>
                <w:tab w:val="left" w:pos="360"/>
              </w:tabs>
              <w:jc w:val="both"/>
              <w:rPr>
                <w:rFonts w:ascii="Arial" w:hAnsi="Arial" w:cs="Arial"/>
                <w:bCs/>
                <w:sz w:val="18"/>
                <w:szCs w:val="18"/>
              </w:rPr>
            </w:pPr>
            <w:r>
              <w:rPr>
                <w:rFonts w:ascii="Arial" w:hAnsi="Arial" w:cs="Arial"/>
                <w:bCs/>
                <w:sz w:val="18"/>
                <w:szCs w:val="18"/>
              </w:rPr>
              <w:t>Apply plate sealer and incubate for 60 minutes at 18-25°C</w:t>
            </w:r>
          </w:p>
        </w:tc>
      </w:tr>
    </w:tbl>
    <w:p w14:paraId="7DBBFF32">
      <w:pPr>
        <w:tabs>
          <w:tab w:val="left" w:pos="360"/>
        </w:tabs>
        <w:ind w:left="360" w:hanging="360"/>
        <w:jc w:val="both"/>
        <w:rPr>
          <w:rFonts w:ascii="Arial" w:hAnsi="Arial" w:cs="Arial"/>
          <w:bCs/>
          <w:sz w:val="18"/>
          <w:szCs w:val="18"/>
        </w:rPr>
      </w:pPr>
      <w:r>
        <w:rPr>
          <w:rFonts w:ascii="Arial" w:hAnsi="Arial" w:cs="Arial"/>
          <w:bCs/>
          <w:sz w:val="18"/>
          <w:szCs w:val="18"/>
        </w:rPr>
        <w:pict>
          <v:shape id="_x0000_s1066" o:spid="_x0000_s1066" o:spt="67" type="#_x0000_t67" style="position:absolute;left:0pt;margin-left:99.5pt;margin-top:31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228E0A2">
      <w:pPr>
        <w:tabs>
          <w:tab w:val="left" w:pos="360"/>
        </w:tabs>
        <w:ind w:left="360" w:hanging="360"/>
        <w:jc w:val="both"/>
        <w:rPr>
          <w:rFonts w:ascii="Arial" w:hAnsi="Arial" w:cs="Arial"/>
          <w:bCs/>
          <w:sz w:val="18"/>
          <w:szCs w:val="18"/>
        </w:rPr>
      </w:pPr>
    </w:p>
    <w:tbl>
      <w:tblPr>
        <w:tblStyle w:val="5"/>
        <w:tblpPr w:leftFromText="180" w:rightFromText="180" w:vertAnchor="text" w:horzAnchor="page" w:tblpX="6353" w:tblpY="12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6"/>
      </w:tblGrid>
      <w:tr w14:paraId="5DC3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6" w:type="dxa"/>
            <w:shd w:val="clear" w:color="auto" w:fill="auto"/>
          </w:tcPr>
          <w:p w14:paraId="5D4CC79A">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7D92D724">
      <w:pPr>
        <w:tabs>
          <w:tab w:val="left" w:pos="360"/>
        </w:tabs>
        <w:ind w:left="360" w:hanging="360"/>
        <w:jc w:val="both"/>
        <w:rPr>
          <w:rFonts w:ascii="Arial" w:hAnsi="Arial" w:cs="Arial"/>
          <w:bCs/>
          <w:sz w:val="18"/>
          <w:szCs w:val="18"/>
        </w:rPr>
      </w:pPr>
      <w:r>
        <w:rPr>
          <w:rFonts w:ascii="Arial" w:hAnsi="Arial" w:cs="Arial"/>
          <w:bCs/>
          <w:sz w:val="18"/>
          <w:szCs w:val="18"/>
        </w:rPr>
        <w:pict>
          <v:shape id="_x0000_s1067" o:spid="_x0000_s1067" o:spt="67" type="#_x0000_t67" style="position:absolute;left:0pt;margin-left:101.4pt;margin-top:30.9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42E0119F">
      <w:pPr>
        <w:tabs>
          <w:tab w:val="left" w:pos="360"/>
        </w:tabs>
        <w:ind w:left="360" w:hanging="360"/>
        <w:jc w:val="both"/>
        <w:rPr>
          <w:rFonts w:ascii="Arial" w:hAnsi="Arial" w:cs="Arial"/>
          <w:bCs/>
          <w:sz w:val="18"/>
          <w:szCs w:val="18"/>
        </w:rPr>
      </w:pPr>
    </w:p>
    <w:tbl>
      <w:tblPr>
        <w:tblStyle w:val="5"/>
        <w:tblpPr w:leftFromText="180" w:rightFromText="180" w:vertAnchor="text" w:horzAnchor="page" w:tblpX="6353" w:tblpY="11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tblGrid>
      <w:tr w14:paraId="45C18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56" w:type="dxa"/>
            <w:shd w:val="clear" w:color="auto" w:fill="auto"/>
          </w:tcPr>
          <w:p w14:paraId="75EF9A9E">
            <w:pPr>
              <w:tabs>
                <w:tab w:val="left" w:pos="360"/>
              </w:tabs>
              <w:jc w:val="both"/>
              <w:rPr>
                <w:rFonts w:ascii="Arial" w:hAnsi="Arial" w:cs="Arial"/>
                <w:bCs/>
                <w:sz w:val="18"/>
                <w:szCs w:val="18"/>
              </w:rPr>
            </w:pPr>
            <w:r>
              <w:rPr>
                <w:rFonts w:ascii="Arial" w:hAnsi="Arial" w:cs="Arial"/>
                <w:bCs/>
                <w:sz w:val="18"/>
                <w:szCs w:val="18"/>
              </w:rPr>
              <w:t>Add 100 µl of diluted Enzyme Conjugate into each well</w:t>
            </w:r>
          </w:p>
        </w:tc>
      </w:tr>
    </w:tbl>
    <w:p w14:paraId="7B2449A5">
      <w:pPr>
        <w:tabs>
          <w:tab w:val="left" w:pos="360"/>
        </w:tabs>
        <w:ind w:left="360" w:hanging="360"/>
        <w:jc w:val="both"/>
        <w:rPr>
          <w:rFonts w:ascii="Arial" w:hAnsi="Arial" w:cs="Arial"/>
          <w:bCs/>
          <w:sz w:val="18"/>
          <w:szCs w:val="18"/>
        </w:rPr>
      </w:pPr>
      <w:r>
        <w:rPr>
          <w:rFonts w:ascii="Arial" w:hAnsi="Arial" w:cs="Arial"/>
          <w:bCs/>
          <w:sz w:val="18"/>
          <w:szCs w:val="18"/>
        </w:rPr>
        <w:pict>
          <v:shape id="_x0000_s1070" o:spid="_x0000_s1070" o:spt="67" type="#_x0000_t67" style="position:absolute;left:0pt;margin-left:100.25pt;margin-top:31.1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1C4CD7DB">
      <w:pPr>
        <w:tabs>
          <w:tab w:val="left" w:pos="360"/>
        </w:tabs>
        <w:ind w:left="360" w:hanging="360"/>
        <w:jc w:val="both"/>
        <w:rPr>
          <w:rFonts w:ascii="Arial" w:hAnsi="Arial" w:cs="Arial"/>
          <w:bCs/>
          <w:sz w:val="18"/>
          <w:szCs w:val="18"/>
        </w:rPr>
      </w:pPr>
    </w:p>
    <w:p w14:paraId="4B01A342">
      <w:pPr>
        <w:tabs>
          <w:tab w:val="left" w:pos="360"/>
        </w:tabs>
        <w:ind w:left="360" w:hanging="360"/>
        <w:jc w:val="both"/>
        <w:rPr>
          <w:rFonts w:ascii="Arial" w:hAnsi="Arial" w:cs="Arial"/>
          <w:bCs/>
          <w:sz w:val="18"/>
          <w:szCs w:val="18"/>
        </w:rPr>
      </w:pP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96"/>
      </w:tblGrid>
      <w:tr w14:paraId="06CCA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6" w:type="dxa"/>
            <w:shd w:val="clear" w:color="auto" w:fill="auto"/>
          </w:tcPr>
          <w:p w14:paraId="18E0E562">
            <w:pPr>
              <w:tabs>
                <w:tab w:val="left" w:pos="360"/>
              </w:tabs>
              <w:ind w:left="360" w:hanging="360"/>
              <w:jc w:val="both"/>
              <w:rPr>
                <w:rFonts w:ascii="Arial" w:hAnsi="Arial" w:cs="Arial"/>
                <w:bCs/>
                <w:sz w:val="18"/>
                <w:szCs w:val="18"/>
              </w:rPr>
            </w:pPr>
            <w:r>
              <w:rPr>
                <w:rFonts w:ascii="Arial" w:hAnsi="Arial" w:cs="Arial"/>
                <w:bCs/>
                <w:sz w:val="18"/>
                <w:szCs w:val="18"/>
              </w:rPr>
              <w:t>Apply plate sealer and incubate for 60 minutes at 18-25°C</w:t>
            </w:r>
          </w:p>
        </w:tc>
      </w:tr>
    </w:tbl>
    <w:p w14:paraId="7378DC7E">
      <w:pPr>
        <w:tabs>
          <w:tab w:val="left" w:pos="360"/>
        </w:tabs>
        <w:ind w:left="360" w:hanging="360"/>
        <w:jc w:val="both"/>
        <w:rPr>
          <w:rFonts w:ascii="Arial" w:hAnsi="Arial" w:cs="Arial"/>
          <w:bCs/>
          <w:sz w:val="18"/>
          <w:szCs w:val="18"/>
        </w:rPr>
      </w:pPr>
    </w:p>
    <w:p w14:paraId="7EAFC1E9">
      <w:pPr>
        <w:tabs>
          <w:tab w:val="left" w:pos="360"/>
        </w:tabs>
        <w:ind w:left="360" w:hanging="360"/>
        <w:jc w:val="both"/>
        <w:rPr>
          <w:rFonts w:ascii="Arial" w:hAnsi="Arial" w:cs="Arial"/>
          <w:bCs/>
          <w:sz w:val="18"/>
          <w:szCs w:val="18"/>
        </w:rPr>
      </w:pPr>
      <w:r>
        <w:rPr>
          <w:rFonts w:ascii="Arial" w:hAnsi="Arial" w:cs="Arial"/>
          <w:bCs/>
          <w:sz w:val="18"/>
          <w:szCs w:val="18"/>
        </w:rPr>
        <w:pict>
          <v:shape id="_x0000_s1083" o:spid="_x0000_s1083" o:spt="67" type="#_x0000_t67" style="position:absolute;left:0pt;margin-left:105pt;margin-top:-1.1pt;height:21pt;width:6pt;z-index:251660288;mso-width-relative:page;mso-height-relative:page;" fillcolor="#000000" filled="t" stroked="t" coordsize="21600,21600" adj="16200,5400">
            <v:path/>
            <v:fill on="t" color2="#FFFFFF" focussize="0,0"/>
            <v:stroke color="#000000" joinstyle="miter"/>
            <v:imagedata o:title=""/>
            <o:lock v:ext="edit" aspectratio="f"/>
            <v:textbox style="layout-flow:vertical-ideographic;"/>
          </v:shape>
        </w:pict>
      </w:r>
    </w:p>
    <w:p w14:paraId="1367923C">
      <w:pPr>
        <w:tabs>
          <w:tab w:val="left" w:pos="360"/>
        </w:tabs>
        <w:ind w:left="360" w:hanging="360"/>
        <w:jc w:val="both"/>
        <w:rPr>
          <w:rFonts w:ascii="Arial" w:hAnsi="Arial" w:cs="Arial"/>
          <w:bCs/>
          <w:sz w:val="18"/>
          <w:szCs w:val="18"/>
        </w:rPr>
      </w:pP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tblGrid>
      <w:tr w14:paraId="4E31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6" w:type="dxa"/>
            <w:shd w:val="clear" w:color="auto" w:fill="auto"/>
          </w:tcPr>
          <w:p w14:paraId="37AEF677">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F26D47D">
      <w:pPr>
        <w:tabs>
          <w:tab w:val="left" w:pos="360"/>
        </w:tabs>
        <w:ind w:left="360" w:hanging="360"/>
        <w:jc w:val="both"/>
        <w:rPr>
          <w:rFonts w:ascii="Arial" w:hAnsi="Arial" w:cs="Arial"/>
          <w:bCs/>
          <w:sz w:val="18"/>
          <w:szCs w:val="18"/>
        </w:rPr>
      </w:pPr>
      <w:r>
        <w:rPr>
          <w:rFonts w:ascii="Arial" w:hAnsi="Arial" w:cs="Arial"/>
          <w:bCs/>
          <w:sz w:val="18"/>
          <w:szCs w:val="18"/>
        </w:rPr>
        <w:pict>
          <v:shape id="_x0000_s1071" o:spid="_x0000_s1071" o:spt="67" type="#_x0000_t67" style="position:absolute;left:0pt;margin-left:104.25pt;margin-top:0.2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3FB2A5B0">
      <w:pPr>
        <w:tabs>
          <w:tab w:val="left" w:pos="360"/>
        </w:tabs>
        <w:ind w:left="360" w:hanging="360"/>
        <w:jc w:val="both"/>
        <w:rPr>
          <w:rFonts w:ascii="Arial" w:hAnsi="Arial" w:cs="Arial"/>
          <w:bCs/>
          <w:sz w:val="18"/>
          <w:szCs w:val="18"/>
        </w:rPr>
      </w:pPr>
    </w:p>
    <w:tbl>
      <w:tblPr>
        <w:tblStyle w:val="5"/>
        <w:tblW w:w="4065"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5"/>
      </w:tblGrid>
      <w:tr w14:paraId="4C9EA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5" w:type="dxa"/>
            <w:shd w:val="clear" w:color="auto" w:fill="auto"/>
          </w:tcPr>
          <w:p w14:paraId="438B2887">
            <w:pPr>
              <w:tabs>
                <w:tab w:val="left" w:pos="360"/>
              </w:tabs>
              <w:jc w:val="both"/>
              <w:rPr>
                <w:rFonts w:ascii="Arial" w:hAnsi="Arial" w:cs="Arial"/>
                <w:bCs/>
                <w:sz w:val="18"/>
                <w:szCs w:val="18"/>
              </w:rPr>
            </w:pPr>
            <w:r>
              <w:rPr>
                <w:rFonts w:ascii="Arial" w:hAnsi="Arial" w:cs="Arial"/>
                <w:bCs/>
                <w:sz w:val="18"/>
                <w:szCs w:val="18"/>
              </w:rPr>
              <w:t>Add 100 µl of Substrate into each well</w:t>
            </w:r>
          </w:p>
        </w:tc>
      </w:tr>
    </w:tbl>
    <w:p w14:paraId="7DE6A566">
      <w:pPr>
        <w:tabs>
          <w:tab w:val="left" w:pos="360"/>
        </w:tabs>
        <w:ind w:left="360" w:hanging="360"/>
        <w:jc w:val="both"/>
        <w:rPr>
          <w:rFonts w:ascii="Arial" w:hAnsi="Arial" w:cs="Arial"/>
          <w:bCs/>
          <w:sz w:val="18"/>
          <w:szCs w:val="18"/>
        </w:rPr>
      </w:pPr>
      <w:r>
        <w:rPr>
          <w:rFonts w:ascii="Arial" w:hAnsi="Arial" w:cs="Arial"/>
          <w:bCs/>
          <w:sz w:val="18"/>
          <w:szCs w:val="18"/>
        </w:rPr>
        <w:pict>
          <v:shape id="_x0000_s1082" o:spid="_x0000_s1082" o:spt="67" type="#_x0000_t67" style="position:absolute;left:0pt;margin-left:104.15pt;margin-top:1.9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2832F41C">
      <w:pPr>
        <w:tabs>
          <w:tab w:val="left" w:pos="360"/>
        </w:tabs>
        <w:ind w:left="360" w:hanging="360"/>
        <w:jc w:val="both"/>
        <w:rPr>
          <w:rFonts w:ascii="Arial" w:hAnsi="Arial" w:cs="Arial"/>
          <w:bCs/>
          <w:sz w:val="18"/>
          <w:szCs w:val="18"/>
        </w:rPr>
      </w:pP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tblGrid>
      <w:tr w14:paraId="37200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6" w:type="dxa"/>
            <w:shd w:val="clear" w:color="auto" w:fill="auto"/>
          </w:tcPr>
          <w:p w14:paraId="699C957F">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63CB4F39">
      <w:pPr>
        <w:tabs>
          <w:tab w:val="left" w:pos="360"/>
        </w:tabs>
        <w:ind w:left="360" w:hanging="360"/>
        <w:jc w:val="both"/>
        <w:rPr>
          <w:rFonts w:ascii="Arial" w:hAnsi="Arial" w:cs="Arial"/>
          <w:bCs/>
          <w:sz w:val="18"/>
          <w:szCs w:val="18"/>
        </w:rPr>
      </w:pPr>
      <w:r>
        <w:rPr>
          <w:rFonts w:ascii="Arial" w:hAnsi="Arial" w:cs="Arial"/>
          <w:bCs/>
          <w:sz w:val="18"/>
          <w:szCs w:val="18"/>
        </w:rPr>
        <w:pict>
          <v:shape id="_x0000_s1080" o:spid="_x0000_s1080" o:spt="67" type="#_x0000_t67" style="position:absolute;left:0pt;margin-left:103.15pt;margin-top:2.8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09AB16E0">
      <w:pPr>
        <w:tabs>
          <w:tab w:val="left" w:pos="360"/>
        </w:tabs>
        <w:ind w:left="360" w:hanging="360"/>
        <w:jc w:val="both"/>
        <w:rPr>
          <w:rFonts w:ascii="Arial" w:hAnsi="Arial" w:cs="Arial"/>
          <w:bCs/>
          <w:sz w:val="18"/>
          <w:szCs w:val="18"/>
        </w:rPr>
      </w:pPr>
    </w:p>
    <w:tbl>
      <w:tblPr>
        <w:tblStyle w:val="5"/>
        <w:tblpPr w:leftFromText="180" w:rightFromText="180" w:vertAnchor="text" w:horzAnchor="page" w:tblpX="10866" w:tblpY="69"/>
        <w:tblOverlap w:val="never"/>
        <w:tblW w:w="4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95"/>
      </w:tblGrid>
      <w:tr w14:paraId="06DC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5" w:type="dxa"/>
            <w:shd w:val="clear" w:color="auto" w:fill="auto"/>
          </w:tcPr>
          <w:p w14:paraId="04EC1A47">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0E7679FB">
      <w:pPr>
        <w:tabs>
          <w:tab w:val="left" w:pos="360"/>
        </w:tabs>
        <w:ind w:left="360" w:hanging="360"/>
        <w:jc w:val="both"/>
        <w:rPr>
          <w:rFonts w:ascii="Arial" w:hAnsi="Arial" w:cs="Arial"/>
          <w:bCs/>
          <w:sz w:val="18"/>
          <w:szCs w:val="18"/>
        </w:rPr>
      </w:pPr>
      <w:r>
        <w:rPr>
          <w:rFonts w:ascii="Arial" w:hAnsi="Arial" w:cs="Arial"/>
          <w:bCs/>
          <w:sz w:val="18"/>
          <w:szCs w:val="18"/>
        </w:rPr>
        <w:pict>
          <v:shape id="_x0000_s1081" o:spid="_x0000_s1081" o:spt="67" type="#_x0000_t67" style="position:absolute;left:0pt;margin-left:103.05pt;margin-top:19.65pt;height:21pt;width:6pt;z-index:251659264;mso-width-relative:page;mso-height-relative:page;" fillcolor="#000000" filled="t" coordsize="21600,21600">
            <v:path/>
            <v:fill on="t" focussize="0,0"/>
            <v:stroke joinstyle="miter"/>
            <v:imagedata o:title=""/>
            <o:lock v:ext="edit"/>
            <v:textbox style="layout-flow:vertical-ideographic;"/>
          </v:shape>
        </w:pict>
      </w:r>
    </w:p>
    <w:p w14:paraId="775449AC">
      <w:pPr>
        <w:tabs>
          <w:tab w:val="left" w:pos="360"/>
        </w:tabs>
        <w:ind w:left="360" w:hanging="360"/>
        <w:jc w:val="both"/>
        <w:rPr>
          <w:rFonts w:ascii="Arial" w:hAnsi="Arial" w:cs="Arial"/>
          <w:bCs/>
          <w:sz w:val="18"/>
          <w:szCs w:val="18"/>
        </w:rPr>
      </w:pPr>
    </w:p>
    <w:tbl>
      <w:tblPr>
        <w:tblStyle w:val="5"/>
        <w:tblpPr w:leftFromText="180" w:rightFromText="180" w:vertAnchor="text" w:horzAnchor="page" w:tblpX="10816" w:tblpY="14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08"/>
      </w:tblGrid>
      <w:tr w14:paraId="03515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8" w:type="dxa"/>
            <w:shd w:val="clear" w:color="auto" w:fill="auto"/>
          </w:tcPr>
          <w:p w14:paraId="60E0B8BC">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FFF6D39">
      <w:pPr>
        <w:tabs>
          <w:tab w:val="left" w:pos="360"/>
        </w:tabs>
        <w:ind w:left="360" w:hanging="360"/>
        <w:jc w:val="both"/>
        <w:rPr>
          <w:rFonts w:ascii="Arial" w:hAnsi="Arial" w:cs="Arial"/>
          <w:bCs/>
          <w:sz w:val="18"/>
          <w:szCs w:val="18"/>
        </w:rPr>
      </w:pPr>
    </w:p>
    <w:p w14:paraId="2E8C25EC">
      <w:pPr>
        <w:tabs>
          <w:tab w:val="left" w:pos="360"/>
        </w:tabs>
        <w:jc w:val="both"/>
        <w:rPr>
          <w:rFonts w:ascii="Arial" w:hAnsi="Arial" w:cs="Arial"/>
          <w:bCs/>
          <w:sz w:val="18"/>
          <w:szCs w:val="18"/>
        </w:rPr>
      </w:pPr>
    </w:p>
    <w:p w14:paraId="24D598AC">
      <w:pPr>
        <w:jc w:val="both"/>
        <w:rPr>
          <w:rFonts w:ascii="Arial" w:hAnsi="Arial" w:cs="Arial"/>
          <w:bCs/>
          <w:sz w:val="18"/>
          <w:szCs w:val="18"/>
        </w:rPr>
      </w:pPr>
      <w:r>
        <w:rPr>
          <w:rFonts w:ascii="Arial" w:hAnsi="Arial" w:cs="Arial"/>
          <w:bCs/>
          <w:sz w:val="18"/>
          <w:szCs w:val="18"/>
        </w:rPr>
        <w:t xml:space="preserve">CALCULATION OF RESULTS </w:t>
      </w:r>
    </w:p>
    <w:p w14:paraId="549195C8">
      <w:pPr>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AMH in ng/ml from the standard curve.</w:t>
      </w:r>
    </w:p>
    <w:p w14:paraId="6903FCCD">
      <w:pPr>
        <w:jc w:val="both"/>
        <w:rPr>
          <w:rFonts w:ascii="Arial" w:hAnsi="Arial" w:cs="Arial"/>
          <w:bCs/>
          <w:sz w:val="18"/>
          <w:szCs w:val="18"/>
        </w:rPr>
      </w:pPr>
    </w:p>
    <w:p w14:paraId="76AC265F">
      <w:pPr>
        <w:jc w:val="both"/>
        <w:rPr>
          <w:rFonts w:ascii="Arial" w:hAnsi="Arial" w:cs="Arial"/>
          <w:bCs/>
          <w:sz w:val="18"/>
          <w:szCs w:val="18"/>
        </w:rPr>
      </w:pPr>
      <w:r>
        <w:rPr>
          <w:rFonts w:ascii="Arial" w:hAnsi="Arial" w:cs="Arial"/>
          <w:bCs/>
          <w:sz w:val="18"/>
          <w:szCs w:val="18"/>
        </w:rPr>
        <w:t>Example of Standard curve</w:t>
      </w:r>
    </w:p>
    <w:p w14:paraId="62DB2D47">
      <w:pPr>
        <w:jc w:val="both"/>
        <w:rPr>
          <w:rFonts w:ascii="Arial" w:hAnsi="Arial" w:cs="Arial"/>
          <w:bCs/>
          <w:sz w:val="18"/>
          <w:szCs w:val="18"/>
        </w:rPr>
      </w:pPr>
      <w:r>
        <w:rPr>
          <w:rFonts w:ascii="Arial" w:hAnsi="Arial" w:cs="Arial"/>
          <w:bCs/>
          <w:sz w:val="18"/>
          <w:szCs w:val="18"/>
        </w:rPr>
        <w:t xml:space="preserve">Results of a typical standard run with optical density reading at 450nm (ref 600 – 700nm) shown in the Yaxis against AMH concentrations shown in the X axis. </w:t>
      </w:r>
    </w:p>
    <w:p w14:paraId="15571631">
      <w:pPr>
        <w:jc w:val="both"/>
        <w:rPr>
          <w:rFonts w:ascii="Arial" w:hAnsi="Arial" w:cs="Arial"/>
          <w:bCs/>
          <w:sz w:val="18"/>
          <w:szCs w:val="18"/>
        </w:rPr>
      </w:pPr>
    </w:p>
    <w:p w14:paraId="624FEF65">
      <w:pPr>
        <w:jc w:val="both"/>
        <w:rPr>
          <w:rFonts w:ascii="Arial" w:hAnsi="Arial" w:cs="Arial"/>
          <w:bCs/>
          <w:sz w:val="18"/>
          <w:szCs w:val="18"/>
        </w:rPr>
      </w:pPr>
      <w:r>
        <w:rPr>
          <w:rFonts w:ascii="Arial" w:hAnsi="Arial" w:cs="Arial"/>
          <w:bCs/>
          <w:sz w:val="18"/>
          <w:szCs w:val="18"/>
        </w:rPr>
        <w:t>Suggest: Use 4-Parameter Standard curve to calculate sample values.</w:t>
      </w:r>
    </w:p>
    <w:p w14:paraId="74F76391">
      <w:pPr>
        <w:jc w:val="both"/>
        <w:rPr>
          <w:rFonts w:ascii="Arial" w:hAnsi="Arial" w:cs="Arial"/>
          <w:bCs/>
          <w:sz w:val="18"/>
          <w:szCs w:val="18"/>
        </w:rPr>
      </w:pPr>
    </w:p>
    <w:p w14:paraId="73CD6CBA">
      <w:pPr>
        <w:jc w:val="both"/>
        <w:rPr>
          <w:rFonts w:ascii="Arial" w:hAnsi="Arial" w:cs="Arial"/>
          <w:bCs/>
          <w:sz w:val="18"/>
          <w:szCs w:val="18"/>
        </w:rPr>
      </w:pPr>
    </w:p>
    <w:tbl>
      <w:tblPr>
        <w:tblStyle w:val="5"/>
        <w:tblW w:w="4141" w:type="dxa"/>
        <w:tblInd w:w="0" w:type="dxa"/>
        <w:tblLayout w:type="fixed"/>
        <w:tblCellMar>
          <w:top w:w="0" w:type="dxa"/>
          <w:left w:w="30" w:type="dxa"/>
          <w:bottom w:w="0" w:type="dxa"/>
          <w:right w:w="30" w:type="dxa"/>
        </w:tblCellMar>
      </w:tblPr>
      <w:tblGrid>
        <w:gridCol w:w="2010"/>
        <w:gridCol w:w="2131"/>
      </w:tblGrid>
      <w:tr w14:paraId="5E63F947">
        <w:tblPrEx>
          <w:tblCellMar>
            <w:top w:w="0" w:type="dxa"/>
            <w:left w:w="30" w:type="dxa"/>
            <w:bottom w:w="0" w:type="dxa"/>
            <w:right w:w="30" w:type="dxa"/>
          </w:tblCellMar>
        </w:tblPrEx>
        <w:trPr>
          <w:cantSplit/>
          <w:trHeight w:val="259" w:hRule="atLeast"/>
        </w:trPr>
        <w:tc>
          <w:tcPr>
            <w:tcW w:w="2010" w:type="dxa"/>
            <w:tcBorders>
              <w:top w:val="single" w:color="auto" w:sz="12" w:space="0"/>
              <w:left w:val="single" w:color="auto" w:sz="12" w:space="0"/>
              <w:bottom w:val="single" w:color="auto" w:sz="12" w:space="0"/>
              <w:right w:val="single" w:color="auto" w:sz="6" w:space="0"/>
            </w:tcBorders>
          </w:tcPr>
          <w:p w14:paraId="2F9FCDBC">
            <w:pPr>
              <w:jc w:val="center"/>
              <w:rPr>
                <w:rFonts w:ascii="Arial" w:hAnsi="Arial" w:cs="Arial"/>
                <w:color w:val="000000"/>
                <w:sz w:val="18"/>
                <w:szCs w:val="18"/>
              </w:rPr>
            </w:pPr>
            <w:r>
              <w:rPr>
                <w:rFonts w:ascii="Arial" w:hAnsi="Arial" w:cs="Arial"/>
              </w:rPr>
              <w:t>AMH (ng/ml)</w:t>
            </w:r>
          </w:p>
        </w:tc>
        <w:tc>
          <w:tcPr>
            <w:tcW w:w="2131" w:type="dxa"/>
            <w:tcBorders>
              <w:top w:val="single" w:color="auto" w:sz="12" w:space="0"/>
              <w:left w:val="single" w:color="auto" w:sz="6" w:space="0"/>
              <w:bottom w:val="single" w:color="auto" w:sz="12" w:space="0"/>
              <w:right w:val="single" w:color="auto" w:sz="12" w:space="0"/>
            </w:tcBorders>
          </w:tcPr>
          <w:p w14:paraId="20A4692F">
            <w:pPr>
              <w:jc w:val="center"/>
              <w:rPr>
                <w:rFonts w:ascii="Arial" w:hAnsi="Arial" w:cs="Arial"/>
                <w:color w:val="000000"/>
                <w:sz w:val="18"/>
                <w:szCs w:val="18"/>
              </w:rPr>
            </w:pPr>
            <w:r>
              <w:rPr>
                <w:rFonts w:ascii="Arial" w:hAnsi="Arial" w:cs="Arial"/>
              </w:rPr>
              <w:t>Absorbance (450nm)</w:t>
            </w:r>
          </w:p>
        </w:tc>
      </w:tr>
      <w:tr w14:paraId="1D90B029">
        <w:tblPrEx>
          <w:tblCellMar>
            <w:top w:w="0" w:type="dxa"/>
            <w:left w:w="30" w:type="dxa"/>
            <w:bottom w:w="0" w:type="dxa"/>
            <w:right w:w="30" w:type="dxa"/>
          </w:tblCellMar>
        </w:tblPrEx>
        <w:trPr>
          <w:cantSplit/>
          <w:trHeight w:val="259" w:hRule="atLeast"/>
        </w:trPr>
        <w:tc>
          <w:tcPr>
            <w:tcW w:w="2010" w:type="dxa"/>
            <w:tcBorders>
              <w:left w:val="single" w:color="auto" w:sz="12" w:space="0"/>
              <w:bottom w:val="single" w:color="auto" w:sz="6" w:space="0"/>
              <w:right w:val="single" w:color="auto" w:sz="6" w:space="0"/>
            </w:tcBorders>
          </w:tcPr>
          <w:p w14:paraId="3C5F0464">
            <w:pPr>
              <w:jc w:val="center"/>
              <w:rPr>
                <w:rFonts w:ascii="Arial" w:hAnsi="Arial" w:cs="Arial"/>
                <w:color w:val="000000"/>
                <w:sz w:val="18"/>
                <w:szCs w:val="18"/>
              </w:rPr>
            </w:pPr>
            <w:r>
              <w:rPr>
                <w:rFonts w:ascii="Arial" w:hAnsi="Arial" w:cs="Arial"/>
              </w:rPr>
              <w:t>A</w:t>
            </w:r>
          </w:p>
        </w:tc>
        <w:tc>
          <w:tcPr>
            <w:tcW w:w="2131" w:type="dxa"/>
            <w:tcBorders>
              <w:left w:val="single" w:color="auto" w:sz="6" w:space="0"/>
              <w:bottom w:val="single" w:color="auto" w:sz="6" w:space="0"/>
              <w:right w:val="single" w:color="auto" w:sz="12" w:space="0"/>
            </w:tcBorders>
          </w:tcPr>
          <w:p w14:paraId="243843E0">
            <w:pPr>
              <w:jc w:val="center"/>
              <w:rPr>
                <w:rFonts w:ascii="Arial" w:hAnsi="Arial" w:cs="Arial"/>
                <w:color w:val="000000"/>
                <w:sz w:val="18"/>
                <w:szCs w:val="18"/>
              </w:rPr>
            </w:pPr>
            <w:r>
              <w:rPr>
                <w:rFonts w:ascii="Arial" w:hAnsi="Arial" w:cs="Arial"/>
              </w:rPr>
              <w:t>0.036</w:t>
            </w:r>
          </w:p>
        </w:tc>
      </w:tr>
      <w:tr w14:paraId="0E397DD0">
        <w:tblPrEx>
          <w:tblCellMar>
            <w:top w:w="0" w:type="dxa"/>
            <w:left w:w="30" w:type="dxa"/>
            <w:bottom w:w="0" w:type="dxa"/>
            <w:right w:w="30" w:type="dxa"/>
          </w:tblCellMar>
        </w:tblPrEx>
        <w:trPr>
          <w:cantSplit/>
          <w:trHeight w:val="259" w:hRule="atLeast"/>
        </w:trPr>
        <w:tc>
          <w:tcPr>
            <w:tcW w:w="2010" w:type="dxa"/>
            <w:tcBorders>
              <w:top w:val="single" w:color="auto" w:sz="6" w:space="0"/>
              <w:left w:val="single" w:color="auto" w:sz="12" w:space="0"/>
              <w:bottom w:val="single" w:color="auto" w:sz="6" w:space="0"/>
              <w:right w:val="single" w:color="auto" w:sz="6" w:space="0"/>
            </w:tcBorders>
          </w:tcPr>
          <w:p w14:paraId="52C2C8D2">
            <w:pPr>
              <w:jc w:val="center"/>
              <w:rPr>
                <w:rFonts w:ascii="Arial" w:hAnsi="Arial" w:cs="Arial"/>
                <w:color w:val="000000"/>
                <w:sz w:val="18"/>
                <w:szCs w:val="18"/>
              </w:rPr>
            </w:pPr>
            <w:r>
              <w:rPr>
                <w:rFonts w:ascii="Arial" w:hAnsi="Arial" w:cs="Arial"/>
              </w:rPr>
              <w:t>B</w:t>
            </w:r>
          </w:p>
        </w:tc>
        <w:tc>
          <w:tcPr>
            <w:tcW w:w="2131" w:type="dxa"/>
            <w:tcBorders>
              <w:top w:val="single" w:color="auto" w:sz="6" w:space="0"/>
              <w:left w:val="single" w:color="auto" w:sz="6" w:space="0"/>
              <w:bottom w:val="single" w:color="auto" w:sz="6" w:space="0"/>
              <w:right w:val="single" w:color="auto" w:sz="12" w:space="0"/>
            </w:tcBorders>
          </w:tcPr>
          <w:p w14:paraId="159EF569">
            <w:pPr>
              <w:jc w:val="center"/>
              <w:rPr>
                <w:rFonts w:ascii="Arial" w:hAnsi="Arial" w:cs="Arial"/>
                <w:color w:val="000000"/>
                <w:sz w:val="18"/>
                <w:szCs w:val="18"/>
              </w:rPr>
            </w:pPr>
            <w:r>
              <w:rPr>
                <w:rFonts w:ascii="Arial" w:hAnsi="Arial" w:cs="Arial"/>
              </w:rPr>
              <w:t>0.081</w:t>
            </w:r>
          </w:p>
        </w:tc>
      </w:tr>
      <w:tr w14:paraId="08CCCA65">
        <w:tblPrEx>
          <w:tblCellMar>
            <w:top w:w="0" w:type="dxa"/>
            <w:left w:w="30" w:type="dxa"/>
            <w:bottom w:w="0" w:type="dxa"/>
            <w:right w:w="30" w:type="dxa"/>
          </w:tblCellMar>
        </w:tblPrEx>
        <w:trPr>
          <w:cantSplit/>
          <w:trHeight w:val="259" w:hRule="atLeast"/>
        </w:trPr>
        <w:tc>
          <w:tcPr>
            <w:tcW w:w="2010" w:type="dxa"/>
            <w:tcBorders>
              <w:top w:val="single" w:color="auto" w:sz="6" w:space="0"/>
              <w:left w:val="single" w:color="auto" w:sz="12" w:space="0"/>
              <w:bottom w:val="single" w:color="auto" w:sz="6" w:space="0"/>
              <w:right w:val="single" w:color="auto" w:sz="6" w:space="0"/>
            </w:tcBorders>
          </w:tcPr>
          <w:p w14:paraId="4E9C3EAC">
            <w:pPr>
              <w:jc w:val="center"/>
              <w:rPr>
                <w:rFonts w:ascii="Arial" w:hAnsi="Arial" w:cs="Arial"/>
                <w:color w:val="000000"/>
                <w:sz w:val="18"/>
                <w:szCs w:val="18"/>
              </w:rPr>
            </w:pPr>
            <w:r>
              <w:rPr>
                <w:rFonts w:ascii="Arial" w:hAnsi="Arial" w:cs="Arial"/>
              </w:rPr>
              <w:t>C</w:t>
            </w:r>
          </w:p>
        </w:tc>
        <w:tc>
          <w:tcPr>
            <w:tcW w:w="2131" w:type="dxa"/>
            <w:tcBorders>
              <w:top w:val="single" w:color="auto" w:sz="6" w:space="0"/>
              <w:left w:val="single" w:color="auto" w:sz="6" w:space="0"/>
              <w:bottom w:val="single" w:color="auto" w:sz="6" w:space="0"/>
              <w:right w:val="single" w:color="auto" w:sz="12" w:space="0"/>
            </w:tcBorders>
          </w:tcPr>
          <w:p w14:paraId="5B1D2978">
            <w:pPr>
              <w:jc w:val="center"/>
              <w:rPr>
                <w:rFonts w:ascii="Arial" w:hAnsi="Arial" w:cs="Arial"/>
                <w:color w:val="000000"/>
                <w:sz w:val="18"/>
                <w:szCs w:val="18"/>
              </w:rPr>
            </w:pPr>
            <w:r>
              <w:rPr>
                <w:rFonts w:ascii="Arial" w:hAnsi="Arial" w:cs="Arial"/>
              </w:rPr>
              <w:t>0.202</w:t>
            </w:r>
          </w:p>
        </w:tc>
      </w:tr>
      <w:tr w14:paraId="0FCF52F6">
        <w:tblPrEx>
          <w:tblCellMar>
            <w:top w:w="0" w:type="dxa"/>
            <w:left w:w="30" w:type="dxa"/>
            <w:bottom w:w="0" w:type="dxa"/>
            <w:right w:w="30" w:type="dxa"/>
          </w:tblCellMar>
        </w:tblPrEx>
        <w:trPr>
          <w:cantSplit/>
          <w:trHeight w:val="259" w:hRule="atLeast"/>
        </w:trPr>
        <w:tc>
          <w:tcPr>
            <w:tcW w:w="2010" w:type="dxa"/>
            <w:tcBorders>
              <w:top w:val="single" w:color="auto" w:sz="6" w:space="0"/>
              <w:left w:val="single" w:color="auto" w:sz="12" w:space="0"/>
              <w:bottom w:val="single" w:color="auto" w:sz="6" w:space="0"/>
              <w:right w:val="single" w:color="auto" w:sz="6" w:space="0"/>
            </w:tcBorders>
          </w:tcPr>
          <w:p w14:paraId="337D4A73">
            <w:pPr>
              <w:jc w:val="center"/>
              <w:rPr>
                <w:rFonts w:ascii="Arial" w:hAnsi="Arial" w:cs="Arial"/>
                <w:color w:val="000000"/>
                <w:sz w:val="18"/>
                <w:szCs w:val="18"/>
              </w:rPr>
            </w:pPr>
            <w:r>
              <w:rPr>
                <w:rFonts w:ascii="Arial" w:hAnsi="Arial" w:cs="Arial"/>
              </w:rPr>
              <w:t>D</w:t>
            </w:r>
          </w:p>
        </w:tc>
        <w:tc>
          <w:tcPr>
            <w:tcW w:w="2131" w:type="dxa"/>
            <w:tcBorders>
              <w:top w:val="single" w:color="auto" w:sz="6" w:space="0"/>
              <w:left w:val="single" w:color="auto" w:sz="6" w:space="0"/>
              <w:bottom w:val="single" w:color="auto" w:sz="6" w:space="0"/>
              <w:right w:val="single" w:color="auto" w:sz="12" w:space="0"/>
            </w:tcBorders>
          </w:tcPr>
          <w:p w14:paraId="689DFBBC">
            <w:pPr>
              <w:jc w:val="center"/>
              <w:rPr>
                <w:rFonts w:ascii="Arial" w:hAnsi="Arial" w:cs="Arial"/>
                <w:color w:val="000000"/>
                <w:sz w:val="18"/>
                <w:szCs w:val="18"/>
              </w:rPr>
            </w:pPr>
            <w:r>
              <w:rPr>
                <w:rFonts w:ascii="Arial" w:hAnsi="Arial" w:cs="Arial"/>
              </w:rPr>
              <w:t>0.711</w:t>
            </w:r>
          </w:p>
        </w:tc>
      </w:tr>
      <w:tr w14:paraId="173A4DFD">
        <w:tblPrEx>
          <w:tblCellMar>
            <w:top w:w="0" w:type="dxa"/>
            <w:left w:w="30" w:type="dxa"/>
            <w:bottom w:w="0" w:type="dxa"/>
            <w:right w:w="30" w:type="dxa"/>
          </w:tblCellMar>
        </w:tblPrEx>
        <w:trPr>
          <w:cantSplit/>
          <w:trHeight w:val="259" w:hRule="atLeast"/>
        </w:trPr>
        <w:tc>
          <w:tcPr>
            <w:tcW w:w="2010" w:type="dxa"/>
            <w:tcBorders>
              <w:top w:val="single" w:color="auto" w:sz="6" w:space="0"/>
              <w:left w:val="single" w:color="auto" w:sz="12" w:space="0"/>
              <w:bottom w:val="single" w:color="auto" w:sz="6" w:space="0"/>
              <w:right w:val="single" w:color="auto" w:sz="6" w:space="0"/>
            </w:tcBorders>
          </w:tcPr>
          <w:p w14:paraId="1FAE5DEB">
            <w:pPr>
              <w:jc w:val="center"/>
              <w:rPr>
                <w:rFonts w:ascii="Arial" w:hAnsi="Arial" w:cs="Arial"/>
                <w:color w:val="000000"/>
                <w:sz w:val="18"/>
                <w:szCs w:val="18"/>
              </w:rPr>
            </w:pPr>
            <w:r>
              <w:rPr>
                <w:rFonts w:ascii="Arial" w:hAnsi="Arial" w:cs="Arial"/>
              </w:rPr>
              <w:t>E</w:t>
            </w:r>
          </w:p>
        </w:tc>
        <w:tc>
          <w:tcPr>
            <w:tcW w:w="2131" w:type="dxa"/>
            <w:tcBorders>
              <w:top w:val="single" w:color="auto" w:sz="6" w:space="0"/>
              <w:left w:val="single" w:color="auto" w:sz="6" w:space="0"/>
              <w:bottom w:val="single" w:color="auto" w:sz="6" w:space="0"/>
              <w:right w:val="single" w:color="auto" w:sz="12" w:space="0"/>
            </w:tcBorders>
          </w:tcPr>
          <w:p w14:paraId="7F55BCD6">
            <w:pPr>
              <w:jc w:val="center"/>
              <w:rPr>
                <w:rFonts w:ascii="Arial" w:hAnsi="Arial" w:cs="Arial"/>
                <w:color w:val="000000"/>
                <w:sz w:val="18"/>
                <w:szCs w:val="18"/>
              </w:rPr>
            </w:pPr>
            <w:r>
              <w:rPr>
                <w:rFonts w:ascii="Arial" w:hAnsi="Arial" w:cs="Arial"/>
              </w:rPr>
              <w:t>1.678</w:t>
            </w:r>
          </w:p>
        </w:tc>
      </w:tr>
      <w:tr w14:paraId="483A39EB">
        <w:tblPrEx>
          <w:tblCellMar>
            <w:top w:w="0" w:type="dxa"/>
            <w:left w:w="30" w:type="dxa"/>
            <w:bottom w:w="0" w:type="dxa"/>
            <w:right w:w="30" w:type="dxa"/>
          </w:tblCellMar>
        </w:tblPrEx>
        <w:trPr>
          <w:cantSplit/>
          <w:trHeight w:val="259" w:hRule="atLeast"/>
        </w:trPr>
        <w:tc>
          <w:tcPr>
            <w:tcW w:w="2010" w:type="dxa"/>
            <w:tcBorders>
              <w:top w:val="single" w:color="auto" w:sz="6" w:space="0"/>
              <w:left w:val="single" w:color="auto" w:sz="12" w:space="0"/>
              <w:bottom w:val="single" w:color="auto" w:sz="12" w:space="0"/>
              <w:right w:val="single" w:color="auto" w:sz="6" w:space="0"/>
            </w:tcBorders>
          </w:tcPr>
          <w:p w14:paraId="32CE9A49">
            <w:pPr>
              <w:jc w:val="center"/>
              <w:rPr>
                <w:rFonts w:ascii="Arial" w:hAnsi="Arial" w:cs="Arial"/>
                <w:color w:val="000000"/>
                <w:sz w:val="18"/>
                <w:szCs w:val="18"/>
              </w:rPr>
            </w:pPr>
            <w:r>
              <w:rPr>
                <w:rFonts w:ascii="Arial" w:hAnsi="Arial" w:cs="Arial"/>
              </w:rPr>
              <w:t>F</w:t>
            </w:r>
          </w:p>
        </w:tc>
        <w:tc>
          <w:tcPr>
            <w:tcW w:w="2131" w:type="dxa"/>
            <w:tcBorders>
              <w:top w:val="single" w:color="auto" w:sz="6" w:space="0"/>
              <w:left w:val="single" w:color="auto" w:sz="6" w:space="0"/>
              <w:bottom w:val="single" w:color="auto" w:sz="12" w:space="0"/>
              <w:right w:val="single" w:color="auto" w:sz="12" w:space="0"/>
            </w:tcBorders>
          </w:tcPr>
          <w:p w14:paraId="3B019EEA">
            <w:pPr>
              <w:jc w:val="center"/>
              <w:rPr>
                <w:rFonts w:ascii="Arial" w:hAnsi="Arial" w:cs="Arial"/>
                <w:color w:val="000000"/>
                <w:sz w:val="18"/>
                <w:szCs w:val="18"/>
              </w:rPr>
            </w:pPr>
            <w:r>
              <w:rPr>
                <w:rFonts w:ascii="Arial" w:hAnsi="Arial" w:cs="Arial"/>
              </w:rPr>
              <w:t>2.339</w:t>
            </w:r>
          </w:p>
        </w:tc>
      </w:tr>
    </w:tbl>
    <w:p w14:paraId="7CCCCE13">
      <w:pPr>
        <w:jc w:val="both"/>
        <w:rPr>
          <w:rFonts w:ascii="Arial" w:hAnsi="Arial" w:cs="Arial"/>
          <w:bCs/>
          <w:sz w:val="18"/>
          <w:szCs w:val="18"/>
        </w:rPr>
      </w:pPr>
    </w:p>
    <w:p w14:paraId="580AA9B5">
      <w:pPr>
        <w:tabs>
          <w:tab w:val="left" w:pos="360"/>
        </w:tabs>
        <w:ind w:left="360" w:hanging="360"/>
        <w:jc w:val="both"/>
        <w:rPr>
          <w:rFonts w:ascii="Arial" w:hAnsi="Arial" w:cs="Arial"/>
          <w:bCs/>
          <w:sz w:val="18"/>
          <w:szCs w:val="18"/>
        </w:rPr>
      </w:pPr>
      <w:r>
        <w:object>
          <v:shape id="_x0000_i1025" o:spt="75" type="#_x0000_t75" style="height:143.25pt;width:202.5pt;" o:ole="t" filled="f" o:preferrelative="t" stroked="f" coordsize="21600,21600">
            <v:path/>
            <v:fill on="f" focussize="0,0"/>
            <v:stroke on="f"/>
            <v:imagedata r:id="rId11" o:title=""/>
            <o:lock v:ext="edit" aspectratio="t"/>
            <w10:wrap type="none"/>
            <w10:anchorlock/>
          </v:shape>
          <o:OLEObject Type="Embed" ProgID="CorelDraw.Graphic.23" ShapeID="_x0000_i1025" DrawAspect="Content" ObjectID="_1468075725" r:id="rId10">
            <o:LockedField>false</o:LockedField>
          </o:OLEObject>
        </w:object>
      </w:r>
    </w:p>
    <w:p w14:paraId="2C1D79DE">
      <w:pPr>
        <w:tabs>
          <w:tab w:val="left" w:pos="360"/>
        </w:tabs>
        <w:ind w:left="360" w:hanging="360"/>
        <w:jc w:val="both"/>
        <w:rPr>
          <w:rFonts w:ascii="Arial" w:hAnsi="Arial" w:cs="Arial"/>
          <w:bCs/>
          <w:sz w:val="18"/>
          <w:szCs w:val="18"/>
        </w:rPr>
      </w:pPr>
    </w:p>
    <w:p w14:paraId="3AC18F2D">
      <w:pPr>
        <w:tabs>
          <w:tab w:val="left" w:pos="0"/>
        </w:tabs>
        <w:ind w:left="142"/>
        <w:jc w:val="both"/>
        <w:rPr>
          <w:rFonts w:ascii="Arial" w:hAnsi="Arial" w:cs="Arial"/>
          <w:bCs/>
          <w:sz w:val="18"/>
          <w:szCs w:val="18"/>
        </w:rPr>
      </w:pPr>
      <w:r>
        <w:rPr>
          <w:rFonts w:ascii="Arial" w:hAnsi="Arial" w:cs="Arial"/>
          <w:bCs/>
          <w:sz w:val="18"/>
          <w:szCs w:val="18"/>
        </w:rPr>
        <w:t xml:space="preserve">This Standard curve is for the purpose of illustration only, and should not be used to calculate samples. Each user should obtain his or her own Standard curve and data. </w:t>
      </w:r>
    </w:p>
    <w:p w14:paraId="24B24A0D">
      <w:pPr>
        <w:tabs>
          <w:tab w:val="left" w:pos="0"/>
        </w:tabs>
        <w:ind w:left="142"/>
        <w:jc w:val="both"/>
        <w:rPr>
          <w:rFonts w:ascii="Arial" w:hAnsi="Arial" w:cs="Arial"/>
          <w:bCs/>
          <w:sz w:val="18"/>
          <w:szCs w:val="18"/>
        </w:rPr>
      </w:pPr>
    </w:p>
    <w:p w14:paraId="1525ECE7">
      <w:pPr>
        <w:tabs>
          <w:tab w:val="left" w:pos="0"/>
        </w:tabs>
        <w:ind w:left="142"/>
        <w:jc w:val="both"/>
        <w:rPr>
          <w:rFonts w:ascii="Arial" w:hAnsi="Arial" w:cs="Arial"/>
          <w:bCs/>
          <w:sz w:val="18"/>
          <w:szCs w:val="18"/>
        </w:rPr>
      </w:pPr>
      <w:r>
        <w:rPr>
          <w:rFonts w:ascii="Arial" w:hAnsi="Arial" w:cs="Arial"/>
          <w:bCs/>
          <w:sz w:val="18"/>
          <w:szCs w:val="18"/>
        </w:rPr>
        <w:t xml:space="preserve">Expected Ranges of values </w:t>
      </w:r>
    </w:p>
    <w:p w14:paraId="4110022F">
      <w:pPr>
        <w:tabs>
          <w:tab w:val="left" w:pos="0"/>
        </w:tabs>
        <w:ind w:left="142"/>
        <w:jc w:val="both"/>
        <w:rPr>
          <w:rFonts w:hint="default" w:ascii="Arial" w:hAnsi="Arial" w:cs="Arial"/>
          <w:bCs/>
          <w:sz w:val="18"/>
          <w:szCs w:val="18"/>
          <w:lang w:val="en-GB"/>
        </w:rPr>
      </w:pPr>
      <w:r>
        <w:rPr>
          <w:rFonts w:ascii="Arial" w:hAnsi="Arial" w:cs="Arial"/>
          <w:bCs/>
          <w:sz w:val="18"/>
          <w:szCs w:val="18"/>
        </w:rPr>
        <w:t>We tested 33 male samples, aged from 19 to 69 years old. All the values of these male samples were within the range of 0.7 to 19 ng/ml. Total of 34 female samples, aged from 13 to 61 years old, were also tested. The AMH value of the 29 female samples aged from 13-45 were within the range of 0.9-9.5 ng/ml; while the value of the other 5 female samples aged above 45 were</w:t>
      </w:r>
      <w:r>
        <w:rPr>
          <w:rFonts w:hint="default" w:ascii="Arial" w:hAnsi="Arial" w:cs="Arial"/>
          <w:bCs/>
          <w:sz w:val="18"/>
          <w:szCs w:val="18"/>
          <w:lang w:val="en-GB"/>
        </w:rPr>
        <w:t xml:space="preserve"> &lt;0.1 ng/ml.</w:t>
      </w:r>
    </w:p>
    <w:p w14:paraId="15712C3C">
      <w:pPr>
        <w:tabs>
          <w:tab w:val="left" w:pos="0"/>
        </w:tabs>
        <w:ind w:left="142"/>
        <w:jc w:val="both"/>
        <w:rPr>
          <w:rFonts w:hint="default" w:ascii="Arial" w:hAnsi="Arial" w:cs="Arial"/>
          <w:bCs/>
          <w:sz w:val="18"/>
          <w:szCs w:val="18"/>
          <w:lang w:val="en-GB"/>
        </w:rPr>
      </w:pPr>
      <w:r>
        <w:rPr>
          <w:rFonts w:ascii="Arial" w:hAnsi="Arial" w:cs="Arial"/>
          <w:bCs/>
          <w:sz w:val="18"/>
          <w:szCs w:val="18"/>
        </w:rPr>
        <w:t xml:space="preserve">Each laboratory </w:t>
      </w:r>
      <w:r>
        <w:rPr>
          <w:rFonts w:hint="default" w:ascii="Arial" w:hAnsi="Arial" w:cs="Arial"/>
          <w:bCs/>
          <w:sz w:val="18"/>
          <w:szCs w:val="18"/>
          <w:lang w:val="en-GB"/>
        </w:rPr>
        <w:t xml:space="preserve">should establish its own normal range based on gender and age. </w:t>
      </w:r>
    </w:p>
    <w:p w14:paraId="3176D4CB">
      <w:pPr>
        <w:tabs>
          <w:tab w:val="left" w:pos="0"/>
        </w:tabs>
        <w:ind w:left="142"/>
        <w:jc w:val="both"/>
        <w:rPr>
          <w:rFonts w:ascii="Arial" w:hAnsi="Arial" w:cs="Arial"/>
          <w:bCs/>
          <w:sz w:val="18"/>
          <w:szCs w:val="18"/>
        </w:rPr>
      </w:pPr>
    </w:p>
    <w:tbl>
      <w:tblPr>
        <w:tblStyle w:val="5"/>
        <w:tblW w:w="421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1470"/>
        <w:gridCol w:w="1445"/>
      </w:tblGrid>
      <w:tr w14:paraId="4219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04" w:type="dxa"/>
            <w:shd w:val="clear" w:color="auto" w:fill="auto"/>
          </w:tcPr>
          <w:p w14:paraId="1E30A1EA">
            <w:pPr>
              <w:tabs>
                <w:tab w:val="left" w:pos="0"/>
              </w:tabs>
              <w:jc w:val="both"/>
              <w:rPr>
                <w:rFonts w:ascii="Arial" w:hAnsi="Arial" w:cs="Arial"/>
                <w:bCs/>
                <w:sz w:val="18"/>
                <w:szCs w:val="18"/>
              </w:rPr>
            </w:pPr>
            <w:r>
              <w:rPr>
                <w:rFonts w:ascii="Arial" w:hAnsi="Arial" w:cs="Arial"/>
                <w:bCs/>
                <w:sz w:val="18"/>
                <w:szCs w:val="18"/>
              </w:rPr>
              <w:t>Gender</w:t>
            </w:r>
          </w:p>
        </w:tc>
        <w:tc>
          <w:tcPr>
            <w:tcW w:w="1470" w:type="dxa"/>
            <w:shd w:val="clear" w:color="auto" w:fill="auto"/>
          </w:tcPr>
          <w:p w14:paraId="4CEAA03A">
            <w:pPr>
              <w:tabs>
                <w:tab w:val="left" w:pos="0"/>
              </w:tabs>
              <w:jc w:val="both"/>
              <w:rPr>
                <w:rFonts w:ascii="Arial" w:hAnsi="Arial" w:cs="Arial"/>
                <w:bCs/>
                <w:sz w:val="18"/>
                <w:szCs w:val="18"/>
              </w:rPr>
            </w:pPr>
            <w:r>
              <w:rPr>
                <w:rFonts w:ascii="Arial" w:hAnsi="Arial" w:cs="Arial"/>
                <w:bCs/>
                <w:sz w:val="18"/>
                <w:szCs w:val="18"/>
              </w:rPr>
              <w:t>Age</w:t>
            </w:r>
          </w:p>
        </w:tc>
        <w:tc>
          <w:tcPr>
            <w:tcW w:w="1445" w:type="dxa"/>
            <w:shd w:val="clear" w:color="auto" w:fill="auto"/>
          </w:tcPr>
          <w:p w14:paraId="2157D880">
            <w:pPr>
              <w:tabs>
                <w:tab w:val="left" w:pos="0"/>
              </w:tabs>
              <w:jc w:val="both"/>
              <w:rPr>
                <w:rFonts w:ascii="Arial" w:hAnsi="Arial" w:cs="Arial"/>
                <w:bCs/>
                <w:sz w:val="18"/>
                <w:szCs w:val="18"/>
              </w:rPr>
            </w:pPr>
            <w:r>
              <w:t>Range (ng/ml)</w:t>
            </w:r>
          </w:p>
        </w:tc>
      </w:tr>
      <w:tr w14:paraId="021CD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restart"/>
            <w:shd w:val="clear" w:color="auto" w:fill="auto"/>
          </w:tcPr>
          <w:p w14:paraId="6280B346">
            <w:pPr>
              <w:tabs>
                <w:tab w:val="left" w:pos="0"/>
              </w:tabs>
              <w:jc w:val="both"/>
              <w:rPr>
                <w:rFonts w:ascii="Arial" w:hAnsi="Arial" w:cs="Arial"/>
                <w:bCs/>
                <w:sz w:val="18"/>
                <w:szCs w:val="18"/>
              </w:rPr>
            </w:pPr>
            <w:r>
              <w:rPr>
                <w:rFonts w:ascii="Arial" w:hAnsi="Arial" w:cs="Arial"/>
                <w:bCs/>
                <w:sz w:val="18"/>
                <w:szCs w:val="18"/>
              </w:rPr>
              <w:t>Males</w:t>
            </w:r>
          </w:p>
        </w:tc>
        <w:tc>
          <w:tcPr>
            <w:tcW w:w="1470" w:type="dxa"/>
            <w:shd w:val="clear" w:color="auto" w:fill="auto"/>
          </w:tcPr>
          <w:p w14:paraId="7E6A7186">
            <w:pPr>
              <w:tabs>
                <w:tab w:val="left" w:pos="0"/>
              </w:tabs>
              <w:jc w:val="both"/>
              <w:rPr>
                <w:rFonts w:ascii="Arial" w:hAnsi="Arial" w:cs="Arial"/>
                <w:bCs/>
                <w:sz w:val="18"/>
                <w:szCs w:val="18"/>
              </w:rPr>
            </w:pPr>
            <w:r>
              <w:t>&lt; 24 months</w:t>
            </w:r>
          </w:p>
        </w:tc>
        <w:tc>
          <w:tcPr>
            <w:tcW w:w="1445" w:type="dxa"/>
            <w:shd w:val="clear" w:color="auto" w:fill="auto"/>
          </w:tcPr>
          <w:p w14:paraId="54920D80">
            <w:pPr>
              <w:tabs>
                <w:tab w:val="left" w:pos="0"/>
              </w:tabs>
              <w:jc w:val="both"/>
              <w:rPr>
                <w:rFonts w:ascii="Arial" w:hAnsi="Arial" w:cs="Arial"/>
                <w:bCs/>
                <w:sz w:val="18"/>
                <w:szCs w:val="18"/>
              </w:rPr>
            </w:pPr>
            <w:r>
              <w:t>14~466</w:t>
            </w:r>
          </w:p>
        </w:tc>
      </w:tr>
      <w:tr w14:paraId="008F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continue"/>
            <w:shd w:val="clear" w:color="auto" w:fill="auto"/>
          </w:tcPr>
          <w:p w14:paraId="26655EEE">
            <w:pPr>
              <w:tabs>
                <w:tab w:val="left" w:pos="0"/>
              </w:tabs>
              <w:jc w:val="both"/>
              <w:rPr>
                <w:rFonts w:ascii="Arial" w:hAnsi="Arial" w:cs="Arial"/>
                <w:bCs/>
                <w:sz w:val="18"/>
                <w:szCs w:val="18"/>
              </w:rPr>
            </w:pPr>
          </w:p>
        </w:tc>
        <w:tc>
          <w:tcPr>
            <w:tcW w:w="1470" w:type="dxa"/>
            <w:shd w:val="clear" w:color="auto" w:fill="auto"/>
          </w:tcPr>
          <w:p w14:paraId="19F7A7C2">
            <w:pPr>
              <w:tabs>
                <w:tab w:val="left" w:pos="0"/>
              </w:tabs>
              <w:jc w:val="both"/>
              <w:rPr>
                <w:rFonts w:ascii="Arial" w:hAnsi="Arial" w:cs="Arial"/>
                <w:bCs/>
                <w:sz w:val="18"/>
                <w:szCs w:val="18"/>
              </w:rPr>
            </w:pPr>
            <w:r>
              <w:t xml:space="preserve">24months~12 years </w:t>
            </w:r>
          </w:p>
        </w:tc>
        <w:tc>
          <w:tcPr>
            <w:tcW w:w="1445" w:type="dxa"/>
            <w:shd w:val="clear" w:color="auto" w:fill="auto"/>
          </w:tcPr>
          <w:p w14:paraId="4CEB790B">
            <w:pPr>
              <w:tabs>
                <w:tab w:val="left" w:pos="0"/>
              </w:tabs>
              <w:jc w:val="both"/>
              <w:rPr>
                <w:rFonts w:ascii="Arial" w:hAnsi="Arial" w:cs="Arial"/>
                <w:bCs/>
                <w:sz w:val="18"/>
                <w:szCs w:val="18"/>
              </w:rPr>
            </w:pPr>
            <w:r>
              <w:t>7.4~243</w:t>
            </w:r>
          </w:p>
        </w:tc>
      </w:tr>
      <w:tr w14:paraId="0E47D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continue"/>
            <w:shd w:val="clear" w:color="auto" w:fill="auto"/>
          </w:tcPr>
          <w:p w14:paraId="5BBFAB25">
            <w:pPr>
              <w:tabs>
                <w:tab w:val="left" w:pos="0"/>
              </w:tabs>
              <w:jc w:val="both"/>
              <w:rPr>
                <w:rFonts w:ascii="Arial" w:hAnsi="Arial" w:cs="Arial"/>
                <w:bCs/>
                <w:sz w:val="18"/>
                <w:szCs w:val="18"/>
              </w:rPr>
            </w:pPr>
          </w:p>
        </w:tc>
        <w:tc>
          <w:tcPr>
            <w:tcW w:w="1470" w:type="dxa"/>
            <w:shd w:val="clear" w:color="auto" w:fill="auto"/>
          </w:tcPr>
          <w:p w14:paraId="6315870D">
            <w:pPr>
              <w:tabs>
                <w:tab w:val="left" w:pos="0"/>
              </w:tabs>
              <w:jc w:val="both"/>
              <w:rPr>
                <w:rFonts w:ascii="Arial" w:hAnsi="Arial" w:cs="Arial"/>
                <w:bCs/>
                <w:sz w:val="18"/>
                <w:szCs w:val="18"/>
              </w:rPr>
            </w:pPr>
            <w:r>
              <w:t xml:space="preserve">&gt; 12 years </w:t>
            </w:r>
          </w:p>
        </w:tc>
        <w:tc>
          <w:tcPr>
            <w:tcW w:w="1445" w:type="dxa"/>
            <w:shd w:val="clear" w:color="auto" w:fill="auto"/>
          </w:tcPr>
          <w:p w14:paraId="4BEAEB0B">
            <w:pPr>
              <w:tabs>
                <w:tab w:val="left" w:pos="0"/>
              </w:tabs>
              <w:jc w:val="both"/>
              <w:rPr>
                <w:rFonts w:ascii="Arial" w:hAnsi="Arial" w:cs="Arial"/>
                <w:bCs/>
                <w:sz w:val="18"/>
                <w:szCs w:val="18"/>
              </w:rPr>
            </w:pPr>
            <w:r>
              <w:t xml:space="preserve">0.7~19 </w:t>
            </w:r>
          </w:p>
        </w:tc>
      </w:tr>
      <w:tr w14:paraId="2554D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restart"/>
            <w:shd w:val="clear" w:color="auto" w:fill="auto"/>
          </w:tcPr>
          <w:p w14:paraId="3452E644">
            <w:pPr>
              <w:tabs>
                <w:tab w:val="left" w:pos="0"/>
              </w:tabs>
              <w:jc w:val="both"/>
              <w:rPr>
                <w:rFonts w:ascii="Arial" w:hAnsi="Arial" w:cs="Arial"/>
                <w:bCs/>
                <w:sz w:val="18"/>
                <w:szCs w:val="18"/>
              </w:rPr>
            </w:pPr>
            <w:r>
              <w:rPr>
                <w:rFonts w:ascii="Arial" w:hAnsi="Arial" w:cs="Arial"/>
                <w:bCs/>
                <w:sz w:val="18"/>
                <w:szCs w:val="18"/>
              </w:rPr>
              <w:t>Females</w:t>
            </w:r>
          </w:p>
        </w:tc>
        <w:tc>
          <w:tcPr>
            <w:tcW w:w="1470" w:type="dxa"/>
            <w:shd w:val="clear" w:color="auto" w:fill="auto"/>
          </w:tcPr>
          <w:p w14:paraId="6B589940">
            <w:pPr>
              <w:tabs>
                <w:tab w:val="left" w:pos="0"/>
              </w:tabs>
              <w:jc w:val="both"/>
              <w:rPr>
                <w:rFonts w:ascii="Arial" w:hAnsi="Arial" w:cs="Arial"/>
                <w:bCs/>
                <w:sz w:val="18"/>
                <w:szCs w:val="18"/>
              </w:rPr>
            </w:pPr>
            <w:r>
              <w:t xml:space="preserve">&lt; 24 months </w:t>
            </w:r>
          </w:p>
        </w:tc>
        <w:tc>
          <w:tcPr>
            <w:tcW w:w="1445" w:type="dxa"/>
            <w:shd w:val="clear" w:color="auto" w:fill="auto"/>
          </w:tcPr>
          <w:p w14:paraId="40FC2CF1">
            <w:pPr>
              <w:tabs>
                <w:tab w:val="left" w:pos="0"/>
              </w:tabs>
              <w:jc w:val="both"/>
              <w:rPr>
                <w:rFonts w:ascii="Arial" w:hAnsi="Arial" w:cs="Arial"/>
                <w:bCs/>
                <w:sz w:val="18"/>
                <w:szCs w:val="18"/>
              </w:rPr>
            </w:pPr>
            <w:r>
              <w:t>&lt;4.7</w:t>
            </w:r>
          </w:p>
        </w:tc>
      </w:tr>
      <w:tr w14:paraId="3DDDD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continue"/>
            <w:shd w:val="clear" w:color="auto" w:fill="auto"/>
          </w:tcPr>
          <w:p w14:paraId="4C200165">
            <w:pPr>
              <w:tabs>
                <w:tab w:val="left" w:pos="0"/>
              </w:tabs>
              <w:jc w:val="both"/>
              <w:rPr>
                <w:rFonts w:ascii="Arial" w:hAnsi="Arial" w:cs="Arial"/>
                <w:bCs/>
                <w:sz w:val="18"/>
                <w:szCs w:val="18"/>
              </w:rPr>
            </w:pPr>
          </w:p>
        </w:tc>
        <w:tc>
          <w:tcPr>
            <w:tcW w:w="1470" w:type="dxa"/>
            <w:shd w:val="clear" w:color="auto" w:fill="auto"/>
          </w:tcPr>
          <w:p w14:paraId="02E25749">
            <w:pPr>
              <w:tabs>
                <w:tab w:val="left" w:pos="0"/>
              </w:tabs>
              <w:jc w:val="both"/>
              <w:rPr>
                <w:rFonts w:ascii="Arial" w:hAnsi="Arial" w:cs="Arial"/>
                <w:bCs/>
                <w:sz w:val="18"/>
                <w:szCs w:val="18"/>
              </w:rPr>
            </w:pPr>
            <w:r>
              <w:t xml:space="preserve">24 months~12 years </w:t>
            </w:r>
          </w:p>
        </w:tc>
        <w:tc>
          <w:tcPr>
            <w:tcW w:w="1445" w:type="dxa"/>
            <w:shd w:val="clear" w:color="auto" w:fill="auto"/>
          </w:tcPr>
          <w:p w14:paraId="403B4BF5">
            <w:pPr>
              <w:tabs>
                <w:tab w:val="left" w:pos="0"/>
              </w:tabs>
              <w:jc w:val="both"/>
              <w:rPr>
                <w:rFonts w:ascii="Arial" w:hAnsi="Arial" w:cs="Arial"/>
                <w:bCs/>
                <w:sz w:val="18"/>
                <w:szCs w:val="18"/>
              </w:rPr>
            </w:pPr>
            <w:r>
              <w:t>&lt;8.8</w:t>
            </w:r>
          </w:p>
        </w:tc>
      </w:tr>
      <w:tr w14:paraId="46CC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continue"/>
            <w:shd w:val="clear" w:color="auto" w:fill="auto"/>
          </w:tcPr>
          <w:p w14:paraId="36DCA80D">
            <w:pPr>
              <w:tabs>
                <w:tab w:val="left" w:pos="0"/>
              </w:tabs>
              <w:jc w:val="both"/>
              <w:rPr>
                <w:rFonts w:ascii="Arial" w:hAnsi="Arial" w:cs="Arial"/>
                <w:bCs/>
                <w:sz w:val="18"/>
                <w:szCs w:val="18"/>
              </w:rPr>
            </w:pPr>
          </w:p>
        </w:tc>
        <w:tc>
          <w:tcPr>
            <w:tcW w:w="1470" w:type="dxa"/>
            <w:shd w:val="clear" w:color="auto" w:fill="auto"/>
          </w:tcPr>
          <w:p w14:paraId="4A27D649">
            <w:pPr>
              <w:tabs>
                <w:tab w:val="left" w:pos="0"/>
              </w:tabs>
              <w:jc w:val="both"/>
              <w:rPr>
                <w:rFonts w:ascii="Arial" w:hAnsi="Arial" w:cs="Arial"/>
                <w:bCs/>
                <w:sz w:val="18"/>
                <w:szCs w:val="18"/>
              </w:rPr>
            </w:pPr>
            <w:r>
              <w:t xml:space="preserve">13~45 years </w:t>
            </w:r>
          </w:p>
        </w:tc>
        <w:tc>
          <w:tcPr>
            <w:tcW w:w="1445" w:type="dxa"/>
            <w:shd w:val="clear" w:color="auto" w:fill="auto"/>
          </w:tcPr>
          <w:p w14:paraId="75548702">
            <w:pPr>
              <w:tabs>
                <w:tab w:val="left" w:pos="0"/>
              </w:tabs>
              <w:jc w:val="both"/>
              <w:rPr>
                <w:rFonts w:ascii="Arial" w:hAnsi="Arial" w:cs="Arial"/>
                <w:bCs/>
                <w:sz w:val="18"/>
                <w:szCs w:val="18"/>
              </w:rPr>
            </w:pPr>
            <w:r>
              <w:t>0.9~9.5</w:t>
            </w:r>
          </w:p>
        </w:tc>
      </w:tr>
      <w:tr w14:paraId="09EBB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4" w:type="dxa"/>
            <w:vMerge w:val="continue"/>
            <w:shd w:val="clear" w:color="auto" w:fill="auto"/>
          </w:tcPr>
          <w:p w14:paraId="56EF19E9">
            <w:pPr>
              <w:tabs>
                <w:tab w:val="left" w:pos="0"/>
              </w:tabs>
              <w:jc w:val="both"/>
              <w:rPr>
                <w:rFonts w:ascii="Arial" w:hAnsi="Arial" w:cs="Arial"/>
                <w:bCs/>
                <w:sz w:val="18"/>
                <w:szCs w:val="18"/>
              </w:rPr>
            </w:pPr>
          </w:p>
        </w:tc>
        <w:tc>
          <w:tcPr>
            <w:tcW w:w="1470" w:type="dxa"/>
            <w:shd w:val="clear" w:color="auto" w:fill="auto"/>
          </w:tcPr>
          <w:p w14:paraId="2DC1E4E0">
            <w:pPr>
              <w:tabs>
                <w:tab w:val="left" w:pos="0"/>
              </w:tabs>
              <w:jc w:val="both"/>
              <w:rPr>
                <w:rFonts w:ascii="Arial" w:hAnsi="Arial" w:cs="Arial"/>
                <w:bCs/>
                <w:sz w:val="18"/>
                <w:szCs w:val="18"/>
              </w:rPr>
            </w:pPr>
            <w:r>
              <w:t xml:space="preserve">&gt; 45 years </w:t>
            </w:r>
          </w:p>
        </w:tc>
        <w:tc>
          <w:tcPr>
            <w:tcW w:w="1445" w:type="dxa"/>
            <w:shd w:val="clear" w:color="auto" w:fill="auto"/>
          </w:tcPr>
          <w:p w14:paraId="02762811">
            <w:pPr>
              <w:tabs>
                <w:tab w:val="left" w:pos="0"/>
              </w:tabs>
              <w:jc w:val="both"/>
              <w:rPr>
                <w:rFonts w:ascii="Arial" w:hAnsi="Arial" w:cs="Arial"/>
                <w:bCs/>
                <w:sz w:val="18"/>
                <w:szCs w:val="18"/>
              </w:rPr>
            </w:pPr>
            <w:r>
              <w:t>&lt;0.1</w:t>
            </w:r>
          </w:p>
        </w:tc>
      </w:tr>
    </w:tbl>
    <w:p w14:paraId="43FC382D">
      <w:pPr>
        <w:tabs>
          <w:tab w:val="left" w:pos="0"/>
        </w:tabs>
        <w:ind w:left="142"/>
        <w:jc w:val="both"/>
        <w:rPr>
          <w:rFonts w:ascii="Arial" w:hAnsi="Arial" w:cs="Arial"/>
          <w:bCs/>
          <w:sz w:val="18"/>
          <w:szCs w:val="18"/>
        </w:rPr>
      </w:pPr>
    </w:p>
    <w:p w14:paraId="350FA208">
      <w:pPr>
        <w:tabs>
          <w:tab w:val="left" w:pos="142"/>
        </w:tabs>
        <w:jc w:val="both"/>
        <w:rPr>
          <w:rFonts w:ascii="Arial" w:hAnsi="Arial" w:cs="Arial"/>
          <w:bCs/>
          <w:sz w:val="18"/>
          <w:szCs w:val="18"/>
        </w:rPr>
      </w:pPr>
      <w:r>
        <w:rPr>
          <w:rFonts w:ascii="Arial" w:hAnsi="Arial" w:cs="Arial"/>
          <w:bCs/>
          <w:sz w:val="18"/>
          <w:szCs w:val="18"/>
        </w:rPr>
        <w:t>The minimum detectable concentration of this assay is 0.073 ng/ml</w:t>
      </w:r>
    </w:p>
    <w:p w14:paraId="40521C40">
      <w:pPr>
        <w:tabs>
          <w:tab w:val="left" w:pos="142"/>
        </w:tabs>
        <w:jc w:val="both"/>
        <w:rPr>
          <w:rFonts w:ascii="Arial" w:hAnsi="Arial" w:cs="Arial"/>
          <w:bCs/>
          <w:sz w:val="18"/>
          <w:szCs w:val="18"/>
        </w:rPr>
      </w:pPr>
    </w:p>
    <w:p w14:paraId="33C7E300">
      <w:pPr>
        <w:tabs>
          <w:tab w:val="left" w:pos="142"/>
        </w:tabs>
        <w:jc w:val="both"/>
        <w:rPr>
          <w:rFonts w:ascii="Arial" w:hAnsi="Arial" w:cs="Arial"/>
          <w:bCs/>
          <w:sz w:val="18"/>
          <w:szCs w:val="18"/>
        </w:rPr>
      </w:pPr>
      <w:r>
        <w:rPr>
          <w:rFonts w:ascii="Arial" w:hAnsi="Arial" w:cs="Arial"/>
          <w:bCs/>
          <w:sz w:val="18"/>
          <w:szCs w:val="18"/>
        </w:rPr>
        <w:t>PERFORMANCE CHARACTERISTICS</w:t>
      </w:r>
    </w:p>
    <w:p w14:paraId="3FD9DB16">
      <w:pPr>
        <w:numPr>
          <w:ilvl w:val="0"/>
          <w:numId w:val="8"/>
        </w:numPr>
        <w:tabs>
          <w:tab w:val="left" w:pos="142"/>
          <w:tab w:val="left" w:pos="426"/>
        </w:tabs>
        <w:jc w:val="both"/>
        <w:rPr>
          <w:rFonts w:ascii="Arial" w:hAnsi="Arial" w:cs="Arial"/>
          <w:bCs/>
          <w:sz w:val="18"/>
          <w:szCs w:val="18"/>
        </w:rPr>
      </w:pPr>
      <w:r>
        <w:rPr>
          <w:rFonts w:ascii="Arial" w:hAnsi="Arial" w:cs="Arial"/>
          <w:bCs/>
          <w:sz w:val="18"/>
          <w:szCs w:val="18"/>
        </w:rPr>
        <w:t>Precision data</w:t>
      </w:r>
    </w:p>
    <w:p w14:paraId="4BBF863F">
      <w:pPr>
        <w:numPr>
          <w:ilvl w:val="0"/>
          <w:numId w:val="0"/>
        </w:numPr>
        <w:tabs>
          <w:tab w:val="left" w:pos="142"/>
          <w:tab w:val="left" w:pos="426"/>
        </w:tabs>
        <w:ind w:left="356" w:leftChars="178" w:firstLine="180" w:firstLineChars="100"/>
        <w:jc w:val="both"/>
        <w:rPr>
          <w:rFonts w:ascii="Arial" w:hAnsi="Arial" w:cs="Arial"/>
          <w:bCs/>
          <w:sz w:val="18"/>
          <w:szCs w:val="18"/>
        </w:rPr>
      </w:pPr>
      <w:r>
        <w:rPr>
          <w:rFonts w:ascii="Arial" w:hAnsi="Arial" w:cs="Arial"/>
          <w:bCs/>
          <w:sz w:val="18"/>
          <w:szCs w:val="18"/>
        </w:rPr>
        <w:t>Two concentration levels of AMH samples were used to determine the inter precision of AMH ELISAassay kit.</w:t>
      </w:r>
    </w:p>
    <w:tbl>
      <w:tblPr>
        <w:tblStyle w:val="5"/>
        <w:tblW w:w="3830" w:type="dxa"/>
        <w:tblInd w:w="4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51"/>
        <w:gridCol w:w="708"/>
        <w:gridCol w:w="709"/>
        <w:gridCol w:w="604"/>
      </w:tblGrid>
      <w:tr w14:paraId="3232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958" w:type="dxa"/>
            <w:shd w:val="clear" w:color="auto" w:fill="auto"/>
          </w:tcPr>
          <w:p w14:paraId="0D8E0CF6">
            <w:pPr>
              <w:tabs>
                <w:tab w:val="left" w:pos="142"/>
                <w:tab w:val="left" w:pos="426"/>
              </w:tabs>
              <w:jc w:val="both"/>
              <w:rPr>
                <w:rFonts w:hint="default" w:ascii="Arial Narrow" w:hAnsi="Arial Narrow" w:cs="Arial"/>
                <w:bCs/>
                <w:sz w:val="16"/>
                <w:szCs w:val="16"/>
                <w:lang w:val="en-GB"/>
              </w:rPr>
            </w:pPr>
            <w:r>
              <w:rPr>
                <w:rFonts w:ascii="Arial Narrow" w:hAnsi="Arial Narrow" w:cs="Arial"/>
                <w:bCs/>
                <w:sz w:val="16"/>
                <w:szCs w:val="16"/>
              </w:rPr>
              <w:t>Con</w:t>
            </w:r>
            <w:r>
              <w:rPr>
                <w:rFonts w:hint="default" w:ascii="Arial Narrow" w:hAnsi="Arial Narrow" w:cs="Arial"/>
                <w:bCs/>
                <w:sz w:val="16"/>
                <w:szCs w:val="16"/>
                <w:lang w:val="en-GB"/>
              </w:rPr>
              <w:t>centrations</w:t>
            </w:r>
          </w:p>
        </w:tc>
        <w:tc>
          <w:tcPr>
            <w:tcW w:w="851" w:type="dxa"/>
            <w:shd w:val="clear" w:color="auto" w:fill="auto"/>
          </w:tcPr>
          <w:p w14:paraId="1D93E654">
            <w:pPr>
              <w:tabs>
                <w:tab w:val="left" w:pos="142"/>
                <w:tab w:val="left" w:pos="426"/>
              </w:tabs>
              <w:jc w:val="both"/>
              <w:rPr>
                <w:rFonts w:ascii="Arial Narrow" w:hAnsi="Arial Narrow" w:cs="Arial"/>
                <w:bCs/>
                <w:sz w:val="16"/>
                <w:szCs w:val="16"/>
              </w:rPr>
            </w:pPr>
            <w:r>
              <w:rPr>
                <w:rFonts w:ascii="Arial Narrow" w:hAnsi="Arial Narrow"/>
                <w:sz w:val="16"/>
                <w:szCs w:val="16"/>
              </w:rPr>
              <w:t>No. of testings</w:t>
            </w:r>
          </w:p>
        </w:tc>
        <w:tc>
          <w:tcPr>
            <w:tcW w:w="708" w:type="dxa"/>
            <w:shd w:val="clear" w:color="auto" w:fill="auto"/>
          </w:tcPr>
          <w:p w14:paraId="4DF7D764">
            <w:pPr>
              <w:tabs>
                <w:tab w:val="left" w:pos="142"/>
                <w:tab w:val="left" w:pos="426"/>
              </w:tabs>
              <w:jc w:val="both"/>
              <w:rPr>
                <w:rFonts w:ascii="Arial Narrow" w:hAnsi="Arial Narrow" w:cs="Arial"/>
                <w:bCs/>
                <w:sz w:val="16"/>
                <w:szCs w:val="16"/>
              </w:rPr>
            </w:pPr>
            <w:r>
              <w:rPr>
                <w:rFonts w:ascii="Arial Narrow" w:hAnsi="Arial Narrow"/>
                <w:sz w:val="16"/>
                <w:szCs w:val="16"/>
              </w:rPr>
              <w:t xml:space="preserve">Range </w:t>
            </w:r>
          </w:p>
        </w:tc>
        <w:tc>
          <w:tcPr>
            <w:tcW w:w="709" w:type="dxa"/>
            <w:shd w:val="clear" w:color="auto" w:fill="auto"/>
          </w:tcPr>
          <w:p w14:paraId="380EFDFB">
            <w:pPr>
              <w:tabs>
                <w:tab w:val="left" w:pos="142"/>
                <w:tab w:val="left" w:pos="426"/>
              </w:tabs>
              <w:jc w:val="both"/>
              <w:rPr>
                <w:rFonts w:ascii="Arial Narrow" w:hAnsi="Arial Narrow" w:cs="Arial"/>
                <w:bCs/>
                <w:sz w:val="16"/>
                <w:szCs w:val="16"/>
              </w:rPr>
            </w:pPr>
            <w:r>
              <w:rPr>
                <w:rFonts w:ascii="Arial Narrow" w:hAnsi="Arial Narrow"/>
                <w:sz w:val="16"/>
                <w:szCs w:val="16"/>
              </w:rPr>
              <w:t xml:space="preserve">SD </w:t>
            </w:r>
          </w:p>
        </w:tc>
        <w:tc>
          <w:tcPr>
            <w:tcW w:w="604" w:type="dxa"/>
          </w:tcPr>
          <w:p w14:paraId="700F8D51">
            <w:pPr>
              <w:tabs>
                <w:tab w:val="left" w:pos="142"/>
                <w:tab w:val="left" w:pos="426"/>
              </w:tabs>
              <w:jc w:val="both"/>
              <w:rPr>
                <w:rFonts w:ascii="Arial Narrow" w:hAnsi="Arial Narrow" w:cs="Arial"/>
                <w:bCs/>
                <w:sz w:val="16"/>
                <w:szCs w:val="16"/>
              </w:rPr>
            </w:pPr>
            <w:r>
              <w:rPr>
                <w:rFonts w:ascii="Arial Narrow" w:hAnsi="Arial Narrow"/>
                <w:sz w:val="16"/>
                <w:szCs w:val="16"/>
              </w:rPr>
              <w:t>CV</w:t>
            </w:r>
          </w:p>
        </w:tc>
      </w:tr>
      <w:tr w14:paraId="0F6ED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958" w:type="dxa"/>
            <w:shd w:val="clear" w:color="auto" w:fill="auto"/>
          </w:tcPr>
          <w:p w14:paraId="50BA61F0">
            <w:pPr>
              <w:tabs>
                <w:tab w:val="left" w:pos="142"/>
                <w:tab w:val="left" w:pos="426"/>
              </w:tabs>
              <w:jc w:val="both"/>
              <w:rPr>
                <w:rFonts w:ascii="Arial Narrow" w:hAnsi="Arial Narrow" w:cs="Arial"/>
                <w:bCs/>
                <w:sz w:val="16"/>
                <w:szCs w:val="16"/>
              </w:rPr>
            </w:pPr>
            <w:r>
              <w:rPr>
                <w:rFonts w:ascii="Arial Narrow" w:hAnsi="Arial Narrow" w:cs="Arial"/>
                <w:bCs/>
                <w:sz w:val="16"/>
                <w:szCs w:val="16"/>
              </w:rPr>
              <w:t>Level  1</w:t>
            </w:r>
          </w:p>
        </w:tc>
        <w:tc>
          <w:tcPr>
            <w:tcW w:w="851" w:type="dxa"/>
            <w:shd w:val="clear" w:color="auto" w:fill="auto"/>
          </w:tcPr>
          <w:p w14:paraId="194C1C1E">
            <w:pPr>
              <w:tabs>
                <w:tab w:val="left" w:pos="142"/>
                <w:tab w:val="left" w:pos="426"/>
              </w:tabs>
              <w:jc w:val="both"/>
              <w:rPr>
                <w:rFonts w:ascii="Arial Narrow" w:hAnsi="Arial Narrow" w:cs="Arial"/>
                <w:bCs/>
                <w:sz w:val="16"/>
                <w:szCs w:val="16"/>
              </w:rPr>
            </w:pPr>
            <w:r>
              <w:rPr>
                <w:rFonts w:ascii="Arial Narrow" w:hAnsi="Arial Narrow" w:cs="Arial"/>
                <w:bCs/>
                <w:sz w:val="16"/>
                <w:szCs w:val="16"/>
              </w:rPr>
              <w:t>10</w:t>
            </w:r>
          </w:p>
        </w:tc>
        <w:tc>
          <w:tcPr>
            <w:tcW w:w="708" w:type="dxa"/>
            <w:shd w:val="clear" w:color="auto" w:fill="auto"/>
          </w:tcPr>
          <w:p w14:paraId="17DF5BE8">
            <w:pPr>
              <w:tabs>
                <w:tab w:val="left" w:pos="142"/>
                <w:tab w:val="left" w:pos="426"/>
              </w:tabs>
              <w:jc w:val="both"/>
              <w:rPr>
                <w:rFonts w:ascii="Arial Narrow" w:hAnsi="Arial Narrow" w:cs="Arial"/>
                <w:bCs/>
                <w:sz w:val="16"/>
                <w:szCs w:val="16"/>
              </w:rPr>
            </w:pPr>
            <w:r>
              <w:rPr>
                <w:rFonts w:ascii="Arial Narrow" w:hAnsi="Arial Narrow" w:cs="Arial"/>
                <w:bCs/>
                <w:sz w:val="16"/>
                <w:szCs w:val="16"/>
              </w:rPr>
              <w:t>0.1-06</w:t>
            </w:r>
          </w:p>
        </w:tc>
        <w:tc>
          <w:tcPr>
            <w:tcW w:w="709" w:type="dxa"/>
            <w:shd w:val="clear" w:color="auto" w:fill="auto"/>
          </w:tcPr>
          <w:p w14:paraId="6ED57ED0">
            <w:pPr>
              <w:tabs>
                <w:tab w:val="left" w:pos="142"/>
                <w:tab w:val="left" w:pos="426"/>
              </w:tabs>
              <w:jc w:val="center"/>
              <w:rPr>
                <w:rFonts w:ascii="Arial Narrow" w:hAnsi="Arial Narrow" w:cs="Arial"/>
                <w:bCs/>
                <w:sz w:val="16"/>
                <w:szCs w:val="16"/>
              </w:rPr>
            </w:pPr>
            <w:r>
              <w:rPr>
                <w:rFonts w:ascii="Arial Narrow" w:hAnsi="Arial Narrow" w:cs="Arial"/>
                <w:bCs/>
                <w:sz w:val="16"/>
                <w:szCs w:val="16"/>
              </w:rPr>
              <w:t>0.153</w:t>
            </w:r>
          </w:p>
        </w:tc>
        <w:tc>
          <w:tcPr>
            <w:tcW w:w="604" w:type="dxa"/>
          </w:tcPr>
          <w:p w14:paraId="587CA199">
            <w:pPr>
              <w:tabs>
                <w:tab w:val="left" w:pos="142"/>
                <w:tab w:val="left" w:pos="426"/>
              </w:tabs>
              <w:jc w:val="center"/>
              <w:rPr>
                <w:rFonts w:ascii="Arial Narrow" w:hAnsi="Arial Narrow" w:cs="Arial"/>
                <w:bCs/>
                <w:sz w:val="16"/>
                <w:szCs w:val="16"/>
              </w:rPr>
            </w:pPr>
            <w:r>
              <w:rPr>
                <w:rFonts w:ascii="Arial Narrow" w:hAnsi="Arial Narrow" w:cs="Arial"/>
                <w:bCs/>
                <w:sz w:val="16"/>
                <w:szCs w:val="16"/>
              </w:rPr>
              <w:t>4.7%</w:t>
            </w:r>
          </w:p>
        </w:tc>
      </w:tr>
      <w:tr w14:paraId="205D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trPr>
        <w:tc>
          <w:tcPr>
            <w:tcW w:w="958" w:type="dxa"/>
            <w:shd w:val="clear" w:color="auto" w:fill="auto"/>
          </w:tcPr>
          <w:p w14:paraId="2B8EBCC9">
            <w:pPr>
              <w:tabs>
                <w:tab w:val="left" w:pos="142"/>
                <w:tab w:val="left" w:pos="426"/>
              </w:tabs>
              <w:jc w:val="both"/>
              <w:rPr>
                <w:rFonts w:ascii="Arial Narrow" w:hAnsi="Arial Narrow" w:cs="Arial"/>
                <w:bCs/>
                <w:sz w:val="16"/>
                <w:szCs w:val="16"/>
              </w:rPr>
            </w:pPr>
            <w:r>
              <w:rPr>
                <w:rFonts w:ascii="Arial Narrow" w:hAnsi="Arial Narrow" w:cs="Arial"/>
                <w:bCs/>
                <w:sz w:val="16"/>
                <w:szCs w:val="16"/>
              </w:rPr>
              <w:t>Level  2</w:t>
            </w:r>
          </w:p>
        </w:tc>
        <w:tc>
          <w:tcPr>
            <w:tcW w:w="851" w:type="dxa"/>
            <w:shd w:val="clear" w:color="auto" w:fill="auto"/>
          </w:tcPr>
          <w:p w14:paraId="1DED37E6">
            <w:pPr>
              <w:tabs>
                <w:tab w:val="left" w:pos="142"/>
                <w:tab w:val="left" w:pos="426"/>
              </w:tabs>
              <w:jc w:val="both"/>
              <w:rPr>
                <w:rFonts w:ascii="Arial Narrow" w:hAnsi="Arial Narrow" w:cs="Arial"/>
                <w:bCs/>
                <w:sz w:val="16"/>
                <w:szCs w:val="16"/>
              </w:rPr>
            </w:pPr>
            <w:r>
              <w:rPr>
                <w:rFonts w:ascii="Arial Narrow" w:hAnsi="Arial Narrow" w:cs="Arial"/>
                <w:bCs/>
                <w:sz w:val="16"/>
                <w:szCs w:val="16"/>
              </w:rPr>
              <w:t>10</w:t>
            </w:r>
          </w:p>
        </w:tc>
        <w:tc>
          <w:tcPr>
            <w:tcW w:w="708" w:type="dxa"/>
            <w:shd w:val="clear" w:color="auto" w:fill="auto"/>
          </w:tcPr>
          <w:p w14:paraId="308633F8">
            <w:pPr>
              <w:tabs>
                <w:tab w:val="left" w:pos="142"/>
                <w:tab w:val="left" w:pos="426"/>
              </w:tabs>
              <w:jc w:val="both"/>
              <w:rPr>
                <w:rFonts w:ascii="Arial Narrow" w:hAnsi="Arial Narrow" w:cs="Arial"/>
                <w:bCs/>
                <w:sz w:val="16"/>
                <w:szCs w:val="16"/>
              </w:rPr>
            </w:pPr>
            <w:r>
              <w:rPr>
                <w:rFonts w:ascii="Arial Narrow" w:hAnsi="Arial Narrow" w:cs="Arial"/>
                <w:bCs/>
                <w:sz w:val="16"/>
                <w:szCs w:val="16"/>
              </w:rPr>
              <w:t>5-15</w:t>
            </w:r>
          </w:p>
        </w:tc>
        <w:tc>
          <w:tcPr>
            <w:tcW w:w="709" w:type="dxa"/>
            <w:shd w:val="clear" w:color="auto" w:fill="auto"/>
          </w:tcPr>
          <w:p w14:paraId="27847A86">
            <w:pPr>
              <w:tabs>
                <w:tab w:val="left" w:pos="142"/>
                <w:tab w:val="left" w:pos="426"/>
              </w:tabs>
              <w:jc w:val="center"/>
              <w:rPr>
                <w:rFonts w:ascii="Arial Narrow" w:hAnsi="Arial Narrow" w:cs="Arial"/>
                <w:bCs/>
                <w:sz w:val="16"/>
                <w:szCs w:val="16"/>
              </w:rPr>
            </w:pPr>
            <w:r>
              <w:rPr>
                <w:rFonts w:ascii="Arial Narrow" w:hAnsi="Arial Narrow" w:cs="Arial"/>
                <w:bCs/>
                <w:sz w:val="16"/>
                <w:szCs w:val="16"/>
              </w:rPr>
              <w:t>0.862</w:t>
            </w:r>
          </w:p>
        </w:tc>
        <w:tc>
          <w:tcPr>
            <w:tcW w:w="604" w:type="dxa"/>
          </w:tcPr>
          <w:p w14:paraId="6227175D">
            <w:pPr>
              <w:tabs>
                <w:tab w:val="left" w:pos="142"/>
                <w:tab w:val="left" w:pos="426"/>
              </w:tabs>
              <w:jc w:val="center"/>
              <w:rPr>
                <w:rFonts w:ascii="Arial Narrow" w:hAnsi="Arial Narrow" w:cs="Arial"/>
                <w:bCs/>
                <w:sz w:val="16"/>
                <w:szCs w:val="16"/>
              </w:rPr>
            </w:pPr>
            <w:r>
              <w:rPr>
                <w:rFonts w:ascii="Arial Narrow" w:hAnsi="Arial Narrow" w:cs="Arial"/>
                <w:bCs/>
                <w:sz w:val="16"/>
                <w:szCs w:val="16"/>
              </w:rPr>
              <w:t>5.9%</w:t>
            </w:r>
          </w:p>
        </w:tc>
      </w:tr>
    </w:tbl>
    <w:p w14:paraId="06C66601">
      <w:pPr>
        <w:tabs>
          <w:tab w:val="left" w:pos="142"/>
        </w:tabs>
        <w:jc w:val="both"/>
        <w:rPr>
          <w:rFonts w:ascii="Arial Narrow" w:hAnsi="Arial Narrow" w:cs="Arial"/>
          <w:bCs/>
          <w:sz w:val="18"/>
          <w:szCs w:val="18"/>
        </w:rPr>
      </w:pPr>
    </w:p>
    <w:p w14:paraId="71434C30">
      <w:pPr>
        <w:numPr>
          <w:ilvl w:val="0"/>
          <w:numId w:val="8"/>
        </w:numPr>
        <w:tabs>
          <w:tab w:val="left" w:pos="142"/>
        </w:tabs>
        <w:ind w:left="426" w:hanging="284"/>
        <w:jc w:val="both"/>
        <w:rPr>
          <w:rFonts w:ascii="Arial" w:hAnsi="Arial" w:cs="Arial"/>
          <w:bCs/>
          <w:sz w:val="18"/>
          <w:szCs w:val="18"/>
        </w:rPr>
      </w:pPr>
      <w:r>
        <w:rPr>
          <w:rFonts w:ascii="Arial" w:hAnsi="Arial" w:cs="Arial"/>
          <w:bCs/>
          <w:sz w:val="18"/>
          <w:szCs w:val="18"/>
        </w:rPr>
        <w:t>Internal Evaluation:</w:t>
      </w:r>
    </w:p>
    <w:p w14:paraId="36B8AF63">
      <w:pPr>
        <w:tabs>
          <w:tab w:val="left" w:pos="142"/>
        </w:tabs>
        <w:ind w:left="426" w:hanging="284"/>
        <w:jc w:val="both"/>
        <w:rPr>
          <w:rFonts w:ascii="Arial" w:hAnsi="Arial" w:cs="Arial"/>
          <w:bCs/>
          <w:sz w:val="18"/>
          <w:szCs w:val="18"/>
        </w:rPr>
      </w:pPr>
      <w:r>
        <w:rPr>
          <w:rFonts w:ascii="Arial" w:hAnsi="Arial" w:cs="Arial"/>
          <w:bCs/>
          <w:sz w:val="18"/>
          <w:szCs w:val="18"/>
        </w:rPr>
        <w:tab/>
      </w:r>
      <w:r>
        <w:rPr>
          <w:rFonts w:ascii="Arial" w:hAnsi="Arial" w:cs="Arial"/>
          <w:bCs/>
          <w:sz w:val="18"/>
          <w:szCs w:val="18"/>
        </w:rPr>
        <w:t>In an internal Study AMH was evaluated against commercially available licensed kit with 90 random clinical samples and AMH has demonstrated 100% clinical correlation with the commercially available licensed kit.</w:t>
      </w:r>
    </w:p>
    <w:p w14:paraId="792B8B80">
      <w:pPr>
        <w:tabs>
          <w:tab w:val="left" w:pos="142"/>
        </w:tabs>
        <w:ind w:left="360"/>
        <w:jc w:val="both"/>
        <w:rPr>
          <w:rFonts w:ascii="Arial" w:hAnsi="Arial" w:cs="Arial"/>
          <w:bCs/>
          <w:sz w:val="18"/>
          <w:szCs w:val="18"/>
        </w:rPr>
      </w:pPr>
      <w:r>
        <w:rPr>
          <w:rFonts w:ascii="Arial" w:hAnsi="Arial" w:cs="Arial"/>
          <w:bCs/>
          <w:sz w:val="18"/>
          <w:szCs w:val="18"/>
        </w:rPr>
        <w:t xml:space="preserve"> </w:t>
      </w:r>
    </w:p>
    <w:p w14:paraId="6E089920">
      <w:pPr>
        <w:numPr>
          <w:ilvl w:val="0"/>
          <w:numId w:val="8"/>
        </w:numPr>
        <w:tabs>
          <w:tab w:val="left" w:pos="142"/>
        </w:tabs>
        <w:jc w:val="both"/>
        <w:rPr>
          <w:rFonts w:ascii="Arial" w:hAnsi="Arial" w:cs="Arial"/>
          <w:bCs/>
          <w:sz w:val="18"/>
          <w:szCs w:val="18"/>
        </w:rPr>
      </w:pPr>
      <w:r>
        <w:rPr>
          <w:rFonts w:ascii="Arial" w:hAnsi="Arial" w:cs="Arial"/>
          <w:bCs/>
          <w:sz w:val="18"/>
          <w:szCs w:val="18"/>
        </w:rPr>
        <w:t>External Evaluation:</w:t>
      </w:r>
      <w:r>
        <w:rPr>
          <w:rFonts w:hint="default" w:ascii="Arial" w:hAnsi="Arial" w:cs="Arial"/>
          <w:bCs/>
          <w:sz w:val="18"/>
          <w:szCs w:val="18"/>
          <w:lang w:val="en-GB"/>
        </w:rPr>
        <w:t xml:space="preserve"> </w:t>
      </w:r>
      <w:r>
        <w:rPr>
          <w:rFonts w:ascii="Arial" w:hAnsi="Arial" w:cs="Arial"/>
          <w:bCs/>
          <w:sz w:val="18"/>
          <w:szCs w:val="18"/>
        </w:rPr>
        <w:t xml:space="preserve">AMH ELISA has been evaluated by a NABL accredited lab against their reference method. In this evaluation AMH ELISA has demonstrated 100% correlation with the reference method. *Data file Orchid Biomedicals (P) Ltd. </w:t>
      </w:r>
    </w:p>
    <w:p w14:paraId="35AEF054">
      <w:pPr>
        <w:tabs>
          <w:tab w:val="left" w:pos="142"/>
        </w:tabs>
        <w:jc w:val="both"/>
        <w:rPr>
          <w:rFonts w:ascii="Arial" w:hAnsi="Arial" w:cs="Arial"/>
          <w:bCs/>
          <w:sz w:val="18"/>
          <w:szCs w:val="18"/>
        </w:rPr>
      </w:pPr>
    </w:p>
    <w:p w14:paraId="76AEB709">
      <w:pPr>
        <w:tabs>
          <w:tab w:val="left" w:pos="142"/>
        </w:tabs>
        <w:ind w:left="142"/>
        <w:jc w:val="both"/>
        <w:rPr>
          <w:rFonts w:ascii="Arial" w:hAnsi="Arial" w:cs="Arial"/>
          <w:bCs/>
          <w:sz w:val="18"/>
          <w:szCs w:val="18"/>
        </w:rPr>
      </w:pPr>
      <w:r>
        <w:rPr>
          <w:rFonts w:ascii="Arial" w:hAnsi="Arial" w:cs="Arial"/>
          <w:bCs/>
          <w:sz w:val="18"/>
          <w:szCs w:val="18"/>
        </w:rPr>
        <w:t xml:space="preserve">IMPORTANT NOTE </w:t>
      </w:r>
    </w:p>
    <w:p w14:paraId="4666912F">
      <w:pPr>
        <w:numPr>
          <w:ilvl w:val="0"/>
          <w:numId w:val="9"/>
        </w:numPr>
        <w:tabs>
          <w:tab w:val="left" w:pos="142"/>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131BB817">
      <w:pPr>
        <w:numPr>
          <w:ilvl w:val="0"/>
          <w:numId w:val="9"/>
        </w:numPr>
        <w:tabs>
          <w:tab w:val="left" w:pos="142"/>
        </w:tabs>
        <w:jc w:val="both"/>
        <w:rPr>
          <w:rFonts w:ascii="Arial" w:hAnsi="Arial" w:cs="Arial"/>
          <w:bCs/>
          <w:sz w:val="18"/>
          <w:szCs w:val="18"/>
        </w:rPr>
      </w:pPr>
      <w:r>
        <w:rPr>
          <w:rFonts w:ascii="Arial" w:hAnsi="Arial" w:cs="Arial"/>
          <w:bCs/>
          <w:sz w:val="18"/>
          <w:szCs w:val="18"/>
        </w:rPr>
        <w:t xml:space="preserve">It is recommended to use the multi channel pipettes to avoid time effect. A full plate of 96 wells may be used if automated pipetting is available. </w:t>
      </w:r>
    </w:p>
    <w:p w14:paraId="14F887FE">
      <w:pPr>
        <w:numPr>
          <w:ilvl w:val="0"/>
          <w:numId w:val="9"/>
        </w:numPr>
        <w:tabs>
          <w:tab w:val="left" w:pos="142"/>
        </w:tabs>
        <w:jc w:val="both"/>
        <w:rPr>
          <w:rFonts w:ascii="Arial" w:hAnsi="Arial" w:cs="Arial"/>
          <w:bCs/>
          <w:sz w:val="18"/>
          <w:szCs w:val="18"/>
        </w:rPr>
      </w:pPr>
      <w:r>
        <w:rPr>
          <w:rFonts w:ascii="Arial" w:hAnsi="Arial" w:cs="Arial"/>
          <w:bCs/>
          <w:sz w:val="18"/>
          <w:szCs w:val="18"/>
        </w:rPr>
        <w:t xml:space="preserve">Duplication of standards, controls and samples is not mandatory but may provide information on reproducibility &amp; application errors. </w:t>
      </w:r>
    </w:p>
    <w:p w14:paraId="59D7B237">
      <w:pPr>
        <w:tabs>
          <w:tab w:val="left" w:pos="142"/>
        </w:tabs>
        <w:jc w:val="both"/>
        <w:rPr>
          <w:rFonts w:ascii="Arial" w:hAnsi="Arial" w:cs="Arial"/>
          <w:bCs/>
          <w:sz w:val="18"/>
          <w:szCs w:val="18"/>
        </w:rPr>
      </w:pPr>
    </w:p>
    <w:p w14:paraId="3A134FE8">
      <w:pPr>
        <w:tabs>
          <w:tab w:val="left" w:pos="142"/>
        </w:tabs>
        <w:ind w:left="142"/>
        <w:jc w:val="both"/>
        <w:rPr>
          <w:rFonts w:ascii="Arial" w:hAnsi="Arial" w:cs="Arial"/>
          <w:bCs/>
          <w:sz w:val="18"/>
          <w:szCs w:val="18"/>
        </w:rPr>
      </w:pPr>
      <w:r>
        <w:rPr>
          <w:rFonts w:ascii="Arial" w:hAnsi="Arial" w:cs="Arial"/>
          <w:bCs/>
          <w:sz w:val="18"/>
          <w:szCs w:val="18"/>
        </w:rPr>
        <w:t>LIMITATIONS OF THE ASSAY</w:t>
      </w:r>
    </w:p>
    <w:p w14:paraId="2B93F4FC">
      <w:pPr>
        <w:numPr>
          <w:ilvl w:val="0"/>
          <w:numId w:val="10"/>
        </w:numPr>
        <w:tabs>
          <w:tab w:val="left" w:pos="142"/>
        </w:tabs>
        <w:jc w:val="both"/>
        <w:rPr>
          <w:rFonts w:ascii="Arial" w:hAnsi="Arial" w:cs="Arial"/>
          <w:bCs/>
          <w:sz w:val="18"/>
          <w:szCs w:val="18"/>
        </w:rPr>
      </w:pPr>
      <w:r>
        <w:rPr>
          <w:rFonts w:ascii="Arial" w:hAnsi="Arial" w:cs="Arial"/>
          <w:bCs/>
          <w:sz w:val="18"/>
          <w:szCs w:val="18"/>
        </w:rPr>
        <w:t>As with all diagnostic tests, a definite clinical diagnosis should not be based on the results of a single test, but should only be made by the physician after all clinical and laboratory findings have been evaluated.</w:t>
      </w:r>
    </w:p>
    <w:p w14:paraId="7E6EA0E2">
      <w:pPr>
        <w:numPr>
          <w:ilvl w:val="0"/>
          <w:numId w:val="10"/>
        </w:numPr>
        <w:tabs>
          <w:tab w:val="left" w:pos="142"/>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4053F090">
      <w:pPr>
        <w:numPr>
          <w:ilvl w:val="0"/>
          <w:numId w:val="10"/>
        </w:numPr>
        <w:tabs>
          <w:tab w:val="left" w:pos="142"/>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1EEE7999">
      <w:pPr>
        <w:numPr>
          <w:ilvl w:val="0"/>
          <w:numId w:val="10"/>
        </w:numPr>
        <w:tabs>
          <w:tab w:val="left" w:pos="142"/>
        </w:tabs>
        <w:jc w:val="both"/>
        <w:rPr>
          <w:rFonts w:ascii="Arial" w:hAnsi="Arial" w:cs="Arial"/>
          <w:bCs/>
          <w:sz w:val="18"/>
          <w:szCs w:val="18"/>
        </w:rPr>
      </w:pPr>
      <w:r>
        <w:rPr>
          <w:rFonts w:ascii="Arial" w:hAnsi="Arial" w:cs="Arial"/>
          <w:bCs/>
          <w:sz w:val="18"/>
          <w:szCs w:val="18"/>
        </w:rPr>
        <w:t xml:space="preserve">Insufficient washing (e.g., less than 5 wash cycles, too small wash buffer volumes, or shortened reaction times) can lead to incorrect OD values. </w:t>
      </w:r>
    </w:p>
    <w:p w14:paraId="636F6CFA">
      <w:pPr>
        <w:tabs>
          <w:tab w:val="left" w:pos="142"/>
        </w:tabs>
        <w:ind w:left="142"/>
        <w:jc w:val="both"/>
        <w:rPr>
          <w:rFonts w:ascii="Arial" w:hAnsi="Arial" w:cs="Arial"/>
          <w:bCs/>
          <w:sz w:val="18"/>
          <w:szCs w:val="18"/>
        </w:rPr>
      </w:pPr>
    </w:p>
    <w:p w14:paraId="6122976C">
      <w:pPr>
        <w:tabs>
          <w:tab w:val="left" w:pos="142"/>
        </w:tabs>
        <w:ind w:left="142"/>
        <w:jc w:val="both"/>
        <w:rPr>
          <w:rFonts w:ascii="Arial" w:hAnsi="Arial" w:cs="Arial"/>
          <w:bCs/>
          <w:sz w:val="18"/>
          <w:szCs w:val="18"/>
        </w:rPr>
      </w:pPr>
    </w:p>
    <w:p w14:paraId="3CDFE431">
      <w:pPr>
        <w:tabs>
          <w:tab w:val="left" w:pos="142"/>
        </w:tabs>
        <w:ind w:left="142"/>
        <w:jc w:val="both"/>
        <w:rPr>
          <w:rFonts w:ascii="Arial" w:hAnsi="Arial" w:cs="Arial"/>
          <w:bCs/>
          <w:sz w:val="18"/>
          <w:szCs w:val="18"/>
        </w:rPr>
      </w:pPr>
    </w:p>
    <w:p w14:paraId="26FB3CB1">
      <w:pPr>
        <w:tabs>
          <w:tab w:val="left" w:pos="142"/>
        </w:tabs>
        <w:ind w:left="142"/>
        <w:jc w:val="both"/>
        <w:rPr>
          <w:rFonts w:ascii="Arial" w:hAnsi="Arial" w:cs="Arial"/>
          <w:bCs/>
          <w:sz w:val="18"/>
          <w:szCs w:val="18"/>
        </w:rPr>
      </w:pPr>
      <w:r>
        <w:rPr>
          <w:rFonts w:ascii="Arial" w:hAnsi="Arial" w:cs="Arial"/>
          <w:bCs/>
          <w:sz w:val="18"/>
          <w:szCs w:val="18"/>
        </w:rPr>
        <w:t xml:space="preserve">BIBLIOGRAPHY </w:t>
      </w:r>
    </w:p>
    <w:p w14:paraId="2AAFB871">
      <w:pPr>
        <w:numPr>
          <w:ilvl w:val="0"/>
          <w:numId w:val="11"/>
        </w:numPr>
        <w:tabs>
          <w:tab w:val="left" w:pos="142"/>
        </w:tabs>
        <w:jc w:val="both"/>
        <w:rPr>
          <w:rFonts w:ascii="Arial" w:hAnsi="Arial" w:cs="Arial"/>
          <w:bCs/>
          <w:sz w:val="18"/>
          <w:szCs w:val="18"/>
        </w:rPr>
      </w:pPr>
      <w:r>
        <w:rPr>
          <w:rFonts w:ascii="Arial" w:hAnsi="Arial" w:cs="Arial"/>
          <w:bCs/>
          <w:sz w:val="18"/>
          <w:szCs w:val="18"/>
        </w:rPr>
        <w:t>Hampl, R; Snajderova, M,; Mardetal, T. (2011)., Antimullerian hormone (AMH) not only a marker for prediction of ovarian reserve".Physiological research/Academia Scientiarum Bohemoslovaca 60 (2): 217-223.</w:t>
      </w:r>
    </w:p>
    <w:p w14:paraId="65DC6F61">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Visser J.de Jong F, Laven J, Themmen A(2006). Anti-Mullerian hormone: a new marker for ovarian function". Reproduction 131(I): 1-9. </w:t>
      </w:r>
    </w:p>
    <w:p w14:paraId="1197C274">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Approved Guideline-Procedures for the Handling and Processing of Blood Specimens, HI8-A3. 2004. Clinical and Laboratory Standards Institute. </w:t>
      </w:r>
    </w:p>
    <w:p w14:paraId="04C52FBF">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Bjerner J, Nustad K, Norum LF, Olsen KH, Bormer OP. 2002. Immunometric assay interference: incidence and prevention. Clin Chem 48:613-621. </w:t>
      </w:r>
    </w:p>
    <w:p w14:paraId="7F321D55">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Lee,M. et al (1993); Mullerian-inhibiting substance: A gonadal hormone with multiple functions. Endocrine Reviews, 142, 152-164. </w:t>
      </w:r>
    </w:p>
    <w:p w14:paraId="461CA6AB">
      <w:pPr>
        <w:numPr>
          <w:ilvl w:val="0"/>
          <w:numId w:val="11"/>
        </w:numPr>
        <w:tabs>
          <w:tab w:val="left" w:pos="142"/>
        </w:tabs>
        <w:jc w:val="both"/>
        <w:rPr>
          <w:rFonts w:ascii="Arial" w:hAnsi="Arial" w:cs="Arial"/>
          <w:bCs/>
          <w:sz w:val="18"/>
          <w:szCs w:val="18"/>
        </w:rPr>
      </w:pPr>
      <w:r>
        <w:rPr>
          <w:rFonts w:ascii="Arial" w:hAnsi="Arial" w:cs="Arial"/>
          <w:bCs/>
          <w:sz w:val="18"/>
          <w:szCs w:val="18"/>
        </w:rPr>
        <w:t xml:space="preserve">Hudson, et al(1990); An immunoassay to detet human Mullerian Inhibition substance in males and females during normal development. Journal of Clinical Endocrinology and Metabolism, 70, 16-22 </w:t>
      </w:r>
    </w:p>
    <w:p w14:paraId="1DE49583">
      <w:pPr>
        <w:numPr>
          <w:ilvl w:val="0"/>
          <w:numId w:val="11"/>
        </w:numPr>
        <w:tabs>
          <w:tab w:val="left" w:pos="142"/>
        </w:tabs>
        <w:jc w:val="both"/>
        <w:rPr>
          <w:rFonts w:ascii="Arial" w:hAnsi="Arial" w:cs="Arial"/>
          <w:bCs/>
          <w:sz w:val="18"/>
          <w:szCs w:val="18"/>
        </w:rPr>
      </w:pPr>
      <w:r>
        <w:rPr>
          <w:rFonts w:ascii="Arial" w:hAnsi="Arial" w:cs="Arial"/>
          <w:bCs/>
          <w:sz w:val="18"/>
          <w:szCs w:val="18"/>
        </w:rPr>
        <w:t>Data on file: Orchid Biomedical Systems (P) Ltd.</w:t>
      </w:r>
    </w:p>
    <w:p w14:paraId="27BDFDA9">
      <w:pPr>
        <w:tabs>
          <w:tab w:val="left" w:pos="142"/>
        </w:tabs>
        <w:jc w:val="both"/>
        <w:rPr>
          <w:rFonts w:ascii="Arial" w:hAnsi="Arial" w:cs="Arial"/>
          <w:bCs/>
          <w:sz w:val="18"/>
          <w:szCs w:val="18"/>
        </w:rPr>
      </w:pPr>
    </w:p>
    <w:p w14:paraId="3EB902C1">
      <w:pPr>
        <w:tabs>
          <w:tab w:val="left" w:pos="360"/>
        </w:tabs>
        <w:jc w:val="center"/>
      </w:pPr>
      <w:r>
        <w:object>
          <v:shape id="_x0000_i1026" o:spt="75" type="#_x0000_t75" style="height:160.5pt;width:189.8pt;" o:ole="t" filled="f" o:preferrelative="t" stroked="f" coordsize="21600,21600">
            <v:path/>
            <v:fill on="f" focussize="0,0"/>
            <v:stroke on="f" joinstyle="miter"/>
            <v:imagedata r:id="rId13" o:title=""/>
            <o:lock v:ext="edit" aspectratio="t"/>
            <w10:wrap type="none"/>
            <w10:anchorlock/>
          </v:shape>
          <o:OLEObject Type="Embed" ProgID="CorelDraw.Graphic.23" ShapeID="_x0000_i1026" DrawAspect="Content" ObjectID="_1468075726" r:id="rId12">
            <o:LockedField>false</o:LockedField>
          </o:OLEObject>
        </w:object>
      </w:r>
    </w:p>
    <w:p w14:paraId="5E7D2BCA">
      <w:pPr>
        <w:tabs>
          <w:tab w:val="left" w:pos="360"/>
        </w:tabs>
        <w:jc w:val="center"/>
      </w:pPr>
    </w:p>
    <w:p w14:paraId="6057182F">
      <w:pPr>
        <w:tabs>
          <w:tab w:val="left" w:pos="360"/>
        </w:tabs>
        <w:jc w:val="center"/>
      </w:pPr>
    </w:p>
    <w:p w14:paraId="63EED643">
      <w:pPr>
        <w:tabs>
          <w:tab w:val="left" w:pos="360"/>
        </w:tabs>
        <w:jc w:val="center"/>
      </w:pPr>
    </w:p>
    <w:p w14:paraId="200771EE">
      <w:pPr>
        <w:tabs>
          <w:tab w:val="left" w:pos="360"/>
        </w:tabs>
        <w:jc w:val="center"/>
      </w:pPr>
    </w:p>
    <w:p w14:paraId="1D33C1F0">
      <w:pPr>
        <w:tabs>
          <w:tab w:val="left" w:pos="360"/>
        </w:tabs>
        <w:jc w:val="center"/>
      </w:pPr>
    </w:p>
    <w:p w14:paraId="498E46B2">
      <w:pPr>
        <w:tabs>
          <w:tab w:val="left" w:pos="360"/>
        </w:tabs>
        <w:jc w:val="center"/>
      </w:pPr>
    </w:p>
    <w:p w14:paraId="6B5ED67B">
      <w:pPr>
        <w:tabs>
          <w:tab w:val="left" w:pos="360"/>
        </w:tabs>
        <w:jc w:val="center"/>
      </w:pPr>
    </w:p>
    <w:p w14:paraId="3CB03206">
      <w:pPr>
        <w:tabs>
          <w:tab w:val="left" w:pos="360"/>
        </w:tabs>
        <w:jc w:val="center"/>
      </w:pPr>
    </w:p>
    <w:p w14:paraId="529840AD">
      <w:pPr>
        <w:tabs>
          <w:tab w:val="left" w:pos="360"/>
        </w:tabs>
        <w:jc w:val="center"/>
      </w:pPr>
    </w:p>
    <w:p w14:paraId="04B2AA5F">
      <w:pPr>
        <w:tabs>
          <w:tab w:val="left" w:pos="360"/>
        </w:tabs>
        <w:jc w:val="center"/>
      </w:pPr>
    </w:p>
    <w:p w14:paraId="15DF92FC">
      <w:pPr>
        <w:tabs>
          <w:tab w:val="left" w:pos="360"/>
        </w:tabs>
        <w:jc w:val="center"/>
      </w:pPr>
    </w:p>
    <w:p w14:paraId="7E243EEF">
      <w:pPr>
        <w:tabs>
          <w:tab w:val="left" w:pos="360"/>
        </w:tabs>
        <w:jc w:val="center"/>
      </w:pPr>
    </w:p>
    <w:p w14:paraId="715D9D69">
      <w:pPr>
        <w:tabs>
          <w:tab w:val="left" w:pos="360"/>
        </w:tabs>
        <w:jc w:val="center"/>
      </w:pPr>
    </w:p>
    <w:p w14:paraId="5B548E9B">
      <w:pPr>
        <w:tabs>
          <w:tab w:val="left" w:pos="360"/>
        </w:tabs>
        <w:jc w:val="center"/>
      </w:pPr>
    </w:p>
    <w:p w14:paraId="590690BD">
      <w:pPr>
        <w:tabs>
          <w:tab w:val="left" w:pos="360"/>
        </w:tabs>
        <w:jc w:val="center"/>
      </w:pPr>
    </w:p>
    <w:p w14:paraId="23F0A3C4">
      <w:pPr>
        <w:tabs>
          <w:tab w:val="left" w:pos="360"/>
        </w:tabs>
        <w:jc w:val="center"/>
      </w:pPr>
    </w:p>
    <w:p w14:paraId="10DC5F9A">
      <w:pPr>
        <w:tabs>
          <w:tab w:val="left" w:pos="360"/>
        </w:tabs>
        <w:jc w:val="center"/>
      </w:pPr>
    </w:p>
    <w:p w14:paraId="7DCA5469">
      <w:pPr>
        <w:tabs>
          <w:tab w:val="left" w:pos="360"/>
        </w:tabs>
        <w:jc w:val="center"/>
      </w:pPr>
    </w:p>
    <w:p w14:paraId="36B83D5E">
      <w:pPr>
        <w:tabs>
          <w:tab w:val="left" w:pos="360"/>
        </w:tabs>
        <w:jc w:val="center"/>
      </w:pPr>
    </w:p>
    <w:p w14:paraId="3EFB9E5F">
      <w:pPr>
        <w:tabs>
          <w:tab w:val="left" w:pos="360"/>
        </w:tabs>
        <w:jc w:val="center"/>
      </w:pPr>
    </w:p>
    <w:p w14:paraId="3DE011F2">
      <w:pPr>
        <w:tabs>
          <w:tab w:val="left" w:pos="360"/>
        </w:tabs>
        <w:jc w:val="center"/>
      </w:pPr>
    </w:p>
    <w:p w14:paraId="56D00127">
      <w:pPr>
        <w:tabs>
          <w:tab w:val="left" w:pos="360"/>
        </w:tabs>
        <w:jc w:val="center"/>
      </w:pPr>
    </w:p>
    <w:p w14:paraId="57216F12">
      <w:pPr>
        <w:tabs>
          <w:tab w:val="left" w:pos="360"/>
        </w:tabs>
        <w:jc w:val="center"/>
      </w:pPr>
    </w:p>
    <w:p w14:paraId="38CC36D8">
      <w:pPr>
        <w:tabs>
          <w:tab w:val="left" w:pos="360"/>
        </w:tabs>
        <w:jc w:val="center"/>
      </w:pPr>
    </w:p>
    <w:p w14:paraId="4FC1D37E">
      <w:pPr>
        <w:tabs>
          <w:tab w:val="left" w:pos="360"/>
        </w:tabs>
        <w:jc w:val="center"/>
      </w:pPr>
    </w:p>
    <w:p w14:paraId="21AAB7A7">
      <w:pPr>
        <w:tabs>
          <w:tab w:val="left" w:pos="360"/>
        </w:tabs>
        <w:jc w:val="center"/>
      </w:pPr>
    </w:p>
    <w:p w14:paraId="2A995408">
      <w:pPr>
        <w:tabs>
          <w:tab w:val="left" w:pos="360"/>
        </w:tabs>
        <w:jc w:val="center"/>
      </w:pPr>
    </w:p>
    <w:p w14:paraId="476FE034">
      <w:pPr>
        <w:tabs>
          <w:tab w:val="left" w:pos="360"/>
        </w:tabs>
        <w:jc w:val="center"/>
      </w:pPr>
    </w:p>
    <w:p w14:paraId="08BD7156">
      <w:pPr>
        <w:tabs>
          <w:tab w:val="left" w:pos="360"/>
        </w:tabs>
        <w:jc w:val="center"/>
      </w:pPr>
    </w:p>
    <w:p w14:paraId="436C8943">
      <w:pPr>
        <w:tabs>
          <w:tab w:val="left" w:pos="360"/>
        </w:tabs>
        <w:jc w:val="center"/>
      </w:pPr>
    </w:p>
    <w:p w14:paraId="73E77ADC">
      <w:pPr>
        <w:tabs>
          <w:tab w:val="left" w:pos="360"/>
        </w:tabs>
        <w:jc w:val="center"/>
      </w:pPr>
    </w:p>
    <w:p w14:paraId="258D8C45">
      <w:pPr>
        <w:tabs>
          <w:tab w:val="left" w:pos="360"/>
        </w:tabs>
        <w:jc w:val="center"/>
      </w:pPr>
    </w:p>
    <w:p w14:paraId="517A8D6D">
      <w:pPr>
        <w:tabs>
          <w:tab w:val="left" w:pos="360"/>
        </w:tabs>
        <w:jc w:val="center"/>
      </w:pPr>
    </w:p>
    <w:p w14:paraId="64ABC974">
      <w:pPr>
        <w:tabs>
          <w:tab w:val="left" w:pos="360"/>
        </w:tabs>
        <w:jc w:val="center"/>
      </w:pPr>
    </w:p>
    <w:p w14:paraId="24A488A2">
      <w:pPr>
        <w:tabs>
          <w:tab w:val="left" w:pos="360"/>
        </w:tabs>
        <w:jc w:val="center"/>
      </w:pPr>
    </w:p>
    <w:p w14:paraId="4523FC72">
      <w:pPr>
        <w:tabs>
          <w:tab w:val="left" w:pos="360"/>
        </w:tabs>
        <w:jc w:val="center"/>
      </w:pPr>
    </w:p>
    <w:p w14:paraId="69623452">
      <w:pPr>
        <w:tabs>
          <w:tab w:val="left" w:pos="360"/>
        </w:tabs>
        <w:jc w:val="center"/>
      </w:pPr>
    </w:p>
    <w:p w14:paraId="49D516A4">
      <w:pPr>
        <w:tabs>
          <w:tab w:val="left" w:pos="360"/>
        </w:tabs>
        <w:jc w:val="center"/>
      </w:pPr>
    </w:p>
    <w:p w14:paraId="4F457291">
      <w:pPr>
        <w:tabs>
          <w:tab w:val="left" w:pos="360"/>
        </w:tabs>
        <w:jc w:val="center"/>
      </w:pPr>
    </w:p>
    <w:p w14:paraId="3AB2CEBC">
      <w:pPr>
        <w:tabs>
          <w:tab w:val="left" w:pos="360"/>
        </w:tabs>
        <w:jc w:val="center"/>
      </w:pPr>
    </w:p>
    <w:p w14:paraId="0E6E2E80">
      <w:pPr>
        <w:tabs>
          <w:tab w:val="left" w:pos="360"/>
        </w:tabs>
        <w:jc w:val="center"/>
      </w:pPr>
    </w:p>
    <w:p w14:paraId="4CEFB87A">
      <w:pPr>
        <w:tabs>
          <w:tab w:val="left" w:pos="360"/>
        </w:tabs>
        <w:jc w:val="center"/>
      </w:pPr>
    </w:p>
    <w:p w14:paraId="1C247B37">
      <w:pPr>
        <w:tabs>
          <w:tab w:val="left" w:pos="360"/>
        </w:tabs>
        <w:jc w:val="center"/>
      </w:pPr>
    </w:p>
    <w:p w14:paraId="2224BD09">
      <w:pPr>
        <w:tabs>
          <w:tab w:val="left" w:pos="360"/>
        </w:tabs>
        <w:jc w:val="center"/>
      </w:pPr>
    </w:p>
    <w:p w14:paraId="5A3FEC3D">
      <w:pPr>
        <w:tabs>
          <w:tab w:val="left" w:pos="360"/>
        </w:tabs>
        <w:jc w:val="center"/>
      </w:pPr>
    </w:p>
    <w:p w14:paraId="113AE770">
      <w:pPr>
        <w:tabs>
          <w:tab w:val="left" w:pos="360"/>
        </w:tabs>
        <w:jc w:val="center"/>
      </w:pPr>
    </w:p>
    <w:p w14:paraId="431F626A">
      <w:pPr>
        <w:tabs>
          <w:tab w:val="left" w:pos="360"/>
        </w:tabs>
        <w:jc w:val="center"/>
      </w:pPr>
    </w:p>
    <w:p w14:paraId="065F03C0">
      <w:pPr>
        <w:tabs>
          <w:tab w:val="left" w:pos="360"/>
        </w:tabs>
        <w:jc w:val="center"/>
      </w:pPr>
    </w:p>
    <w:p w14:paraId="2A42CFE6">
      <w:pPr>
        <w:tabs>
          <w:tab w:val="left" w:pos="360"/>
        </w:tabs>
        <w:jc w:val="center"/>
      </w:pPr>
    </w:p>
    <w:p w14:paraId="0C46A646">
      <w:pPr>
        <w:tabs>
          <w:tab w:val="left" w:pos="360"/>
        </w:tabs>
        <w:jc w:val="center"/>
      </w:pPr>
    </w:p>
    <w:p w14:paraId="65F2A907">
      <w:pPr>
        <w:tabs>
          <w:tab w:val="left" w:pos="360"/>
        </w:tabs>
        <w:jc w:val="center"/>
      </w:pPr>
    </w:p>
    <w:p w14:paraId="7D8D214A">
      <w:pPr>
        <w:tabs>
          <w:tab w:val="left" w:pos="360"/>
        </w:tabs>
        <w:jc w:val="center"/>
      </w:pPr>
    </w:p>
    <w:p w14:paraId="5977675F">
      <w:pPr>
        <w:tabs>
          <w:tab w:val="left" w:pos="360"/>
        </w:tabs>
        <w:jc w:val="center"/>
      </w:pPr>
    </w:p>
    <w:p w14:paraId="7AE23ADB">
      <w:pPr>
        <w:tabs>
          <w:tab w:val="left" w:pos="360"/>
        </w:tabs>
        <w:jc w:val="center"/>
      </w:pPr>
    </w:p>
    <w:p w14:paraId="586F6B08">
      <w:pPr>
        <w:tabs>
          <w:tab w:val="left" w:pos="360"/>
        </w:tabs>
        <w:jc w:val="center"/>
      </w:pPr>
    </w:p>
    <w:p w14:paraId="627C814B">
      <w:pPr>
        <w:tabs>
          <w:tab w:val="left" w:pos="360"/>
        </w:tabs>
        <w:jc w:val="center"/>
      </w:pPr>
    </w:p>
    <w:p w14:paraId="5C637AE7">
      <w:pPr>
        <w:tabs>
          <w:tab w:val="left" w:pos="360"/>
        </w:tabs>
        <w:jc w:val="center"/>
      </w:pPr>
    </w:p>
    <w:p w14:paraId="61D414C1">
      <w:pPr>
        <w:tabs>
          <w:tab w:val="left" w:pos="360"/>
        </w:tabs>
        <w:jc w:val="center"/>
      </w:pPr>
    </w:p>
    <w:p w14:paraId="792614DB">
      <w:pPr>
        <w:tabs>
          <w:tab w:val="left" w:pos="360"/>
        </w:tabs>
        <w:jc w:val="center"/>
      </w:pPr>
    </w:p>
    <w:p w14:paraId="2FA241F7">
      <w:pPr>
        <w:tabs>
          <w:tab w:val="left" w:pos="360"/>
        </w:tabs>
        <w:jc w:val="center"/>
      </w:pPr>
    </w:p>
    <w:p w14:paraId="4071E63F">
      <w:pPr>
        <w:tabs>
          <w:tab w:val="left" w:pos="360"/>
        </w:tabs>
        <w:jc w:val="center"/>
      </w:pPr>
    </w:p>
    <w:p w14:paraId="17BCE995">
      <w:pPr>
        <w:tabs>
          <w:tab w:val="left" w:pos="360"/>
        </w:tabs>
        <w:jc w:val="center"/>
      </w:pPr>
    </w:p>
    <w:p w14:paraId="67E7A0AB">
      <w:pPr>
        <w:tabs>
          <w:tab w:val="left" w:pos="360"/>
        </w:tabs>
        <w:jc w:val="center"/>
      </w:pPr>
    </w:p>
    <w:p w14:paraId="64E3ECE7">
      <w:pPr>
        <w:tabs>
          <w:tab w:val="left" w:pos="360"/>
        </w:tabs>
        <w:jc w:val="center"/>
      </w:pPr>
    </w:p>
    <w:p w14:paraId="7D041340">
      <w:pPr>
        <w:tabs>
          <w:tab w:val="left" w:pos="360"/>
        </w:tabs>
        <w:jc w:val="center"/>
      </w:pPr>
    </w:p>
    <w:p w14:paraId="4B632FC4">
      <w:pPr>
        <w:tabs>
          <w:tab w:val="left" w:pos="360"/>
        </w:tabs>
        <w:jc w:val="center"/>
      </w:pPr>
    </w:p>
    <w:p w14:paraId="56CBA9B5">
      <w:pPr>
        <w:tabs>
          <w:tab w:val="left" w:pos="360"/>
        </w:tabs>
        <w:jc w:val="center"/>
      </w:pPr>
    </w:p>
    <w:p w14:paraId="7FFF9D03">
      <w:pPr>
        <w:tabs>
          <w:tab w:val="left" w:pos="360"/>
        </w:tabs>
        <w:jc w:val="center"/>
      </w:pPr>
    </w:p>
    <w:p w14:paraId="764F9FEF">
      <w:pPr>
        <w:tabs>
          <w:tab w:val="left" w:pos="360"/>
        </w:tabs>
        <w:jc w:val="center"/>
      </w:pPr>
    </w:p>
    <w:p w14:paraId="29C4ABA5">
      <w:pPr>
        <w:tabs>
          <w:tab w:val="left" w:pos="360"/>
        </w:tabs>
        <w:jc w:val="center"/>
      </w:pPr>
    </w:p>
    <w:p w14:paraId="3959EE63">
      <w:pPr>
        <w:tabs>
          <w:tab w:val="left" w:pos="360"/>
        </w:tabs>
        <w:jc w:val="center"/>
      </w:pPr>
    </w:p>
    <w:p w14:paraId="07AE892F">
      <w:pPr>
        <w:tabs>
          <w:tab w:val="left" w:pos="360"/>
        </w:tabs>
        <w:jc w:val="center"/>
      </w:pPr>
    </w:p>
    <w:p w14:paraId="63ABC8B5">
      <w:pPr>
        <w:tabs>
          <w:tab w:val="left" w:pos="360"/>
        </w:tabs>
        <w:jc w:val="center"/>
      </w:pPr>
    </w:p>
    <w:p w14:paraId="23AF3245">
      <w:pPr>
        <w:tabs>
          <w:tab w:val="left" w:pos="360"/>
        </w:tabs>
        <w:jc w:val="center"/>
      </w:pPr>
    </w:p>
    <w:p w14:paraId="15D045CA">
      <w:pPr>
        <w:tabs>
          <w:tab w:val="left" w:pos="360"/>
        </w:tabs>
        <w:jc w:val="center"/>
      </w:pPr>
    </w:p>
    <w:p w14:paraId="4BC41A7E">
      <w:pPr>
        <w:tabs>
          <w:tab w:val="left" w:pos="360"/>
        </w:tabs>
        <w:jc w:val="center"/>
      </w:pPr>
    </w:p>
    <w:p w14:paraId="46AE3997">
      <w:pPr>
        <w:tabs>
          <w:tab w:val="left" w:pos="360"/>
        </w:tabs>
        <w:jc w:val="center"/>
      </w:pPr>
    </w:p>
    <w:p w14:paraId="2D72F23D">
      <w:pPr>
        <w:tabs>
          <w:tab w:val="left" w:pos="360"/>
        </w:tabs>
        <w:jc w:val="center"/>
      </w:pPr>
    </w:p>
    <w:p w14:paraId="69EB6E34">
      <w:pPr>
        <w:tabs>
          <w:tab w:val="left" w:pos="360"/>
        </w:tabs>
        <w:jc w:val="center"/>
      </w:pPr>
    </w:p>
    <w:p w14:paraId="595D287B">
      <w:pPr>
        <w:tabs>
          <w:tab w:val="left" w:pos="360"/>
        </w:tabs>
        <w:jc w:val="center"/>
      </w:pPr>
    </w:p>
    <w:p w14:paraId="0EDB52C4">
      <w:pPr>
        <w:tabs>
          <w:tab w:val="left" w:pos="360"/>
        </w:tabs>
        <w:jc w:val="center"/>
      </w:pPr>
    </w:p>
    <w:p w14:paraId="7C764461">
      <w:pPr>
        <w:tabs>
          <w:tab w:val="left" w:pos="360"/>
        </w:tabs>
        <w:jc w:val="center"/>
      </w:pPr>
    </w:p>
    <w:p w14:paraId="7E6B7C4E">
      <w:pPr>
        <w:tabs>
          <w:tab w:val="left" w:pos="360"/>
        </w:tabs>
        <w:jc w:val="center"/>
      </w:pPr>
    </w:p>
    <w:p w14:paraId="63D952D7">
      <w:pPr>
        <w:tabs>
          <w:tab w:val="left" w:pos="360"/>
        </w:tabs>
        <w:jc w:val="center"/>
      </w:pPr>
    </w:p>
    <w:p w14:paraId="4BDC919B">
      <w:pPr>
        <w:tabs>
          <w:tab w:val="left" w:pos="360"/>
        </w:tabs>
        <w:jc w:val="center"/>
      </w:pPr>
    </w:p>
    <w:p w14:paraId="1FEF8593">
      <w:pPr>
        <w:tabs>
          <w:tab w:val="left" w:pos="360"/>
        </w:tabs>
        <w:jc w:val="center"/>
      </w:pPr>
    </w:p>
    <w:p w14:paraId="3973B828">
      <w:pPr>
        <w:tabs>
          <w:tab w:val="left" w:pos="360"/>
        </w:tabs>
        <w:jc w:val="center"/>
      </w:pPr>
    </w:p>
    <w:p w14:paraId="73F0CD76">
      <w:pPr>
        <w:tabs>
          <w:tab w:val="left" w:pos="360"/>
        </w:tabs>
        <w:jc w:val="center"/>
      </w:pPr>
    </w:p>
    <w:p w14:paraId="3A665199">
      <w:pPr>
        <w:tabs>
          <w:tab w:val="left" w:pos="360"/>
        </w:tabs>
        <w:jc w:val="center"/>
      </w:pPr>
    </w:p>
    <w:p w14:paraId="04592860">
      <w:pPr>
        <w:tabs>
          <w:tab w:val="left" w:pos="360"/>
        </w:tabs>
        <w:jc w:val="center"/>
      </w:pPr>
    </w:p>
    <w:p w14:paraId="7D3B8631">
      <w:pPr>
        <w:tabs>
          <w:tab w:val="left" w:pos="360"/>
        </w:tabs>
        <w:jc w:val="center"/>
      </w:pPr>
    </w:p>
    <w:p w14:paraId="2A0224D4">
      <w:pPr>
        <w:tabs>
          <w:tab w:val="left" w:pos="360"/>
        </w:tabs>
        <w:jc w:val="center"/>
      </w:pPr>
    </w:p>
    <w:p w14:paraId="5F2302A9">
      <w:pPr>
        <w:tabs>
          <w:tab w:val="left" w:pos="360"/>
        </w:tabs>
        <w:jc w:val="center"/>
      </w:pPr>
    </w:p>
    <w:p w14:paraId="15FF9481">
      <w:pPr>
        <w:tabs>
          <w:tab w:val="left" w:pos="360"/>
        </w:tabs>
        <w:jc w:val="center"/>
      </w:pPr>
    </w:p>
    <w:p w14:paraId="7527E42D">
      <w:pPr>
        <w:tabs>
          <w:tab w:val="left" w:pos="360"/>
        </w:tabs>
        <w:jc w:val="center"/>
      </w:pPr>
    </w:p>
    <w:p w14:paraId="1E4E3C61">
      <w:pPr>
        <w:tabs>
          <w:tab w:val="left" w:pos="360"/>
        </w:tabs>
        <w:jc w:val="center"/>
      </w:pPr>
    </w:p>
    <w:p w14:paraId="5159774D">
      <w:pPr>
        <w:tabs>
          <w:tab w:val="left" w:pos="360"/>
        </w:tabs>
        <w:jc w:val="center"/>
      </w:pPr>
    </w:p>
    <w:p w14:paraId="443CD52C">
      <w:pPr>
        <w:tabs>
          <w:tab w:val="left" w:pos="360"/>
        </w:tabs>
        <w:jc w:val="center"/>
      </w:pPr>
    </w:p>
    <w:p w14:paraId="23D1DCB4">
      <w:pPr>
        <w:tabs>
          <w:tab w:val="left" w:pos="360"/>
        </w:tabs>
        <w:jc w:val="center"/>
      </w:pPr>
    </w:p>
    <w:p w14:paraId="18C157FC">
      <w:pPr>
        <w:tabs>
          <w:tab w:val="left" w:pos="360"/>
        </w:tabs>
        <w:jc w:val="center"/>
      </w:pPr>
    </w:p>
    <w:p w14:paraId="61848D4F">
      <w:pPr>
        <w:tabs>
          <w:tab w:val="left" w:pos="360"/>
        </w:tabs>
        <w:jc w:val="center"/>
      </w:pPr>
    </w:p>
    <w:p w14:paraId="315A248C">
      <w:pPr>
        <w:tabs>
          <w:tab w:val="left" w:pos="360"/>
        </w:tabs>
        <w:jc w:val="center"/>
      </w:pPr>
    </w:p>
    <w:p w14:paraId="3414E2DD">
      <w:pPr>
        <w:tabs>
          <w:tab w:val="left" w:pos="360"/>
        </w:tabs>
        <w:jc w:val="center"/>
      </w:pPr>
    </w:p>
    <w:p w14:paraId="69758F7C">
      <w:pPr>
        <w:tabs>
          <w:tab w:val="left" w:pos="360"/>
        </w:tabs>
        <w:jc w:val="center"/>
      </w:pPr>
    </w:p>
    <w:p w14:paraId="4B0FBDEC">
      <w:pPr>
        <w:tabs>
          <w:tab w:val="left" w:pos="360"/>
        </w:tabs>
        <w:jc w:val="center"/>
      </w:pPr>
    </w:p>
    <w:p w14:paraId="00B9A893">
      <w:pPr>
        <w:tabs>
          <w:tab w:val="left" w:pos="360"/>
        </w:tabs>
        <w:jc w:val="center"/>
      </w:pPr>
    </w:p>
    <w:p w14:paraId="2FE30A4D">
      <w:pPr>
        <w:tabs>
          <w:tab w:val="left" w:pos="360"/>
        </w:tabs>
        <w:jc w:val="center"/>
      </w:pPr>
    </w:p>
    <w:p w14:paraId="04505F87">
      <w:pPr>
        <w:tabs>
          <w:tab w:val="left" w:pos="360"/>
        </w:tabs>
        <w:jc w:val="center"/>
      </w:pPr>
    </w:p>
    <w:p w14:paraId="1C3107D7">
      <w:pPr>
        <w:tabs>
          <w:tab w:val="left" w:pos="360"/>
        </w:tabs>
        <w:jc w:val="center"/>
      </w:pPr>
    </w:p>
    <w:p w14:paraId="134F6776">
      <w:pPr>
        <w:tabs>
          <w:tab w:val="left" w:pos="360"/>
        </w:tabs>
        <w:jc w:val="center"/>
      </w:pPr>
    </w:p>
    <w:p w14:paraId="5AA04EE2">
      <w:pPr>
        <w:tabs>
          <w:tab w:val="left" w:pos="360"/>
        </w:tabs>
        <w:jc w:val="center"/>
      </w:pPr>
    </w:p>
    <w:p w14:paraId="615F1C34">
      <w:pPr>
        <w:tabs>
          <w:tab w:val="left" w:pos="360"/>
        </w:tabs>
        <w:jc w:val="center"/>
      </w:pPr>
    </w:p>
    <w:p w14:paraId="723D03F2">
      <w:pPr>
        <w:tabs>
          <w:tab w:val="left" w:pos="360"/>
        </w:tabs>
        <w:jc w:val="both"/>
      </w:pPr>
      <w:bookmarkStart w:id="0" w:name="_GoBack"/>
      <w:bookmarkEnd w:id="0"/>
    </w:p>
    <w:p w14:paraId="3495BB08">
      <w:pPr>
        <w:tabs>
          <w:tab w:val="left" w:pos="360"/>
        </w:tabs>
        <w:jc w:val="center"/>
      </w:pPr>
    </w:p>
    <w:p w14:paraId="7BAB2790">
      <w:pPr>
        <w:tabs>
          <w:tab w:val="left" w:pos="360"/>
        </w:tabs>
        <w:jc w:val="center"/>
      </w:pPr>
    </w:p>
    <w:p w14:paraId="1C8FE31F">
      <w:pPr>
        <w:tabs>
          <w:tab w:val="left" w:pos="360"/>
        </w:tabs>
        <w:jc w:val="center"/>
      </w:pPr>
    </w:p>
    <w:p w14:paraId="3F2B879F">
      <w:pPr>
        <w:tabs>
          <w:tab w:val="left" w:pos="360"/>
        </w:tabs>
        <w:jc w:val="center"/>
      </w:pPr>
      <w:r>
        <w:object>
          <v:shape id="_x0000_i1027" o:spt="75" type="#_x0000_t75" style="height:55.5pt;width:191.9pt;" o:ole="t" filled="f" o:preferrelative="t" stroked="f" coordsize="21600,21600">
            <v:path/>
            <v:fill on="f" focussize="0,0"/>
            <v:stroke on="f" joinstyle="miter"/>
            <v:imagedata r:id="rId15" o:title=""/>
            <o:lock v:ext="edit" aspectratio="t"/>
            <w10:wrap type="none"/>
            <w10:anchorlock/>
          </v:shape>
          <o:OLEObject Type="Embed" ProgID="CorelDraw.Graphic.23" ShapeID="_x0000_i1027" DrawAspect="Content" ObjectID="_1468075727" r:id="rId14">
            <o:LockedField>false</o:LockedField>
          </o:OLEObject>
        </w:object>
      </w:r>
    </w:p>
    <w:sectPr>
      <w:headerReference r:id="rId5" w:type="first"/>
      <w:footerReference r:id="rId8" w:type="first"/>
      <w:headerReference r:id="rId3" w:type="default"/>
      <w:footerReference r:id="rId6" w:type="default"/>
      <w:headerReference r:id="rId4" w:type="even"/>
      <w:footerReference r:id="rId7" w:type="even"/>
      <w:pgSz w:w="15840" w:h="12240" w:orient="landscape"/>
      <w:pgMar w:top="864" w:right="720" w:bottom="864" w:left="720" w:header="432" w:footer="432" w:gutter="0"/>
      <w:cols w:equalWidth="0" w:num="3">
        <w:col w:w="4560" w:space="720"/>
        <w:col w:w="3840" w:space="720"/>
        <w:col w:w="45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Narrow">
    <w:altName w:val="Arial"/>
    <w:panose1 w:val="020B060602020203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C1D4E">
    <w:pPr>
      <w:pStyle w:val="9"/>
      <w:jc w:val="center"/>
    </w:pPr>
    <w:r>
      <w:t xml:space="preserve">Page </w:t>
    </w:r>
    <w:r>
      <w:fldChar w:fldCharType="begin"/>
    </w:r>
    <w:r>
      <w:instrText xml:space="preserve">PAGE</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39A9B">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BB3BD">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4BC06">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6A4FB">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EA9B7">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522E4"/>
    <w:multiLevelType w:val="multilevel"/>
    <w:tmpl w:val="042522E4"/>
    <w:lvl w:ilvl="0" w:tentative="0">
      <w:start w:val="1"/>
      <w:numFmt w:val="decimal"/>
      <w:lvlText w:val="%1."/>
      <w:lvlJc w:val="left"/>
      <w:pPr>
        <w:ind w:left="765" w:hanging="360"/>
      </w:pPr>
      <w:rPr>
        <w:rFonts w:hint="default"/>
      </w:rPr>
    </w:lvl>
    <w:lvl w:ilvl="1" w:tentative="0">
      <w:start w:val="1"/>
      <w:numFmt w:val="lowerLetter"/>
      <w:lvlText w:val="%2."/>
      <w:lvlJc w:val="left"/>
      <w:pPr>
        <w:ind w:left="1485" w:hanging="360"/>
      </w:pPr>
    </w:lvl>
    <w:lvl w:ilvl="2" w:tentative="0">
      <w:start w:val="1"/>
      <w:numFmt w:val="lowerRoman"/>
      <w:lvlText w:val="%3."/>
      <w:lvlJc w:val="right"/>
      <w:pPr>
        <w:ind w:left="2205" w:hanging="180"/>
      </w:pPr>
    </w:lvl>
    <w:lvl w:ilvl="3" w:tentative="0">
      <w:start w:val="1"/>
      <w:numFmt w:val="decimal"/>
      <w:lvlText w:val="%4."/>
      <w:lvlJc w:val="left"/>
      <w:pPr>
        <w:ind w:left="2925" w:hanging="360"/>
      </w:pPr>
    </w:lvl>
    <w:lvl w:ilvl="4" w:tentative="0">
      <w:start w:val="1"/>
      <w:numFmt w:val="lowerLetter"/>
      <w:lvlText w:val="%5."/>
      <w:lvlJc w:val="left"/>
      <w:pPr>
        <w:ind w:left="3645" w:hanging="360"/>
      </w:pPr>
    </w:lvl>
    <w:lvl w:ilvl="5" w:tentative="0">
      <w:start w:val="1"/>
      <w:numFmt w:val="lowerRoman"/>
      <w:lvlText w:val="%6."/>
      <w:lvlJc w:val="right"/>
      <w:pPr>
        <w:ind w:left="4365" w:hanging="180"/>
      </w:pPr>
    </w:lvl>
    <w:lvl w:ilvl="6" w:tentative="0">
      <w:start w:val="1"/>
      <w:numFmt w:val="decimal"/>
      <w:lvlText w:val="%7."/>
      <w:lvlJc w:val="left"/>
      <w:pPr>
        <w:ind w:left="5085" w:hanging="360"/>
      </w:pPr>
    </w:lvl>
    <w:lvl w:ilvl="7" w:tentative="0">
      <w:start w:val="1"/>
      <w:numFmt w:val="lowerLetter"/>
      <w:lvlText w:val="%8."/>
      <w:lvlJc w:val="left"/>
      <w:pPr>
        <w:ind w:left="5805" w:hanging="360"/>
      </w:pPr>
    </w:lvl>
    <w:lvl w:ilvl="8" w:tentative="0">
      <w:start w:val="1"/>
      <w:numFmt w:val="lowerRoman"/>
      <w:lvlText w:val="%9."/>
      <w:lvlJc w:val="right"/>
      <w:pPr>
        <w:ind w:left="6525" w:hanging="180"/>
      </w:pPr>
    </w:lvl>
  </w:abstractNum>
  <w:abstractNum w:abstractNumId="1">
    <w:nsid w:val="06FA5EE9"/>
    <w:multiLevelType w:val="multilevel"/>
    <w:tmpl w:val="06FA5EE9"/>
    <w:lvl w:ilvl="0" w:tentative="0">
      <w:start w:val="1"/>
      <w:numFmt w:val="decimal"/>
      <w:lvlText w:val="%1."/>
      <w:lvlJc w:val="left"/>
      <w:pPr>
        <w:ind w:left="547" w:hanging="360"/>
      </w:pPr>
      <w:rPr>
        <w:rFonts w:hint="default"/>
      </w:rPr>
    </w:lvl>
    <w:lvl w:ilvl="1" w:tentative="0">
      <w:start w:val="1"/>
      <w:numFmt w:val="lowerLetter"/>
      <w:lvlText w:val="%2."/>
      <w:lvlJc w:val="left"/>
      <w:pPr>
        <w:ind w:left="1267" w:hanging="360"/>
      </w:pPr>
    </w:lvl>
    <w:lvl w:ilvl="2" w:tentative="0">
      <w:start w:val="1"/>
      <w:numFmt w:val="lowerRoman"/>
      <w:lvlText w:val="%3."/>
      <w:lvlJc w:val="right"/>
      <w:pPr>
        <w:ind w:left="1987" w:hanging="180"/>
      </w:pPr>
    </w:lvl>
    <w:lvl w:ilvl="3" w:tentative="0">
      <w:start w:val="1"/>
      <w:numFmt w:val="decimal"/>
      <w:lvlText w:val="%4."/>
      <w:lvlJc w:val="left"/>
      <w:pPr>
        <w:ind w:left="2707" w:hanging="360"/>
      </w:pPr>
    </w:lvl>
    <w:lvl w:ilvl="4" w:tentative="0">
      <w:start w:val="1"/>
      <w:numFmt w:val="lowerLetter"/>
      <w:lvlText w:val="%5."/>
      <w:lvlJc w:val="left"/>
      <w:pPr>
        <w:ind w:left="3427" w:hanging="360"/>
      </w:pPr>
    </w:lvl>
    <w:lvl w:ilvl="5" w:tentative="0">
      <w:start w:val="1"/>
      <w:numFmt w:val="lowerRoman"/>
      <w:lvlText w:val="%6."/>
      <w:lvlJc w:val="right"/>
      <w:pPr>
        <w:ind w:left="4147" w:hanging="180"/>
      </w:pPr>
    </w:lvl>
    <w:lvl w:ilvl="6" w:tentative="0">
      <w:start w:val="1"/>
      <w:numFmt w:val="decimal"/>
      <w:lvlText w:val="%7."/>
      <w:lvlJc w:val="left"/>
      <w:pPr>
        <w:ind w:left="4867" w:hanging="360"/>
      </w:pPr>
    </w:lvl>
    <w:lvl w:ilvl="7" w:tentative="0">
      <w:start w:val="1"/>
      <w:numFmt w:val="lowerLetter"/>
      <w:lvlText w:val="%8."/>
      <w:lvlJc w:val="left"/>
      <w:pPr>
        <w:ind w:left="5587" w:hanging="360"/>
      </w:pPr>
    </w:lvl>
    <w:lvl w:ilvl="8" w:tentative="0">
      <w:start w:val="1"/>
      <w:numFmt w:val="lowerRoman"/>
      <w:lvlText w:val="%9."/>
      <w:lvlJc w:val="right"/>
      <w:pPr>
        <w:ind w:left="6307" w:hanging="180"/>
      </w:pPr>
    </w:lvl>
  </w:abstractNum>
  <w:abstractNum w:abstractNumId="2">
    <w:nsid w:val="085D0B6B"/>
    <w:multiLevelType w:val="multilevel"/>
    <w:tmpl w:val="085D0B6B"/>
    <w:lvl w:ilvl="0" w:tentative="0">
      <w:start w:val="1"/>
      <w:numFmt w:val="upperLetter"/>
      <w:lvlText w:val="%1)"/>
      <w:lvlJc w:val="left"/>
      <w:pPr>
        <w:ind w:left="502" w:hanging="360"/>
      </w:pPr>
      <w:rPr>
        <w:rFonts w:hint="default"/>
      </w:rPr>
    </w:lvl>
    <w:lvl w:ilvl="1" w:tentative="0">
      <w:start w:val="1"/>
      <w:numFmt w:val="lowerLetter"/>
      <w:lvlText w:val="%2."/>
      <w:lvlJc w:val="left"/>
      <w:pPr>
        <w:ind w:left="1222" w:hanging="360"/>
      </w:pPr>
    </w:lvl>
    <w:lvl w:ilvl="2" w:tentative="0">
      <w:start w:val="1"/>
      <w:numFmt w:val="lowerRoman"/>
      <w:lvlText w:val="%3."/>
      <w:lvlJc w:val="right"/>
      <w:pPr>
        <w:ind w:left="1942" w:hanging="180"/>
      </w:pPr>
    </w:lvl>
    <w:lvl w:ilvl="3" w:tentative="0">
      <w:start w:val="1"/>
      <w:numFmt w:val="decimal"/>
      <w:lvlText w:val="%4."/>
      <w:lvlJc w:val="left"/>
      <w:pPr>
        <w:ind w:left="2662" w:hanging="360"/>
      </w:pPr>
    </w:lvl>
    <w:lvl w:ilvl="4" w:tentative="0">
      <w:start w:val="1"/>
      <w:numFmt w:val="lowerLetter"/>
      <w:lvlText w:val="%5."/>
      <w:lvlJc w:val="left"/>
      <w:pPr>
        <w:ind w:left="3382" w:hanging="360"/>
      </w:pPr>
    </w:lvl>
    <w:lvl w:ilvl="5" w:tentative="0">
      <w:start w:val="1"/>
      <w:numFmt w:val="lowerRoman"/>
      <w:lvlText w:val="%6."/>
      <w:lvlJc w:val="right"/>
      <w:pPr>
        <w:ind w:left="4102" w:hanging="180"/>
      </w:pPr>
    </w:lvl>
    <w:lvl w:ilvl="6" w:tentative="0">
      <w:start w:val="1"/>
      <w:numFmt w:val="decimal"/>
      <w:lvlText w:val="%7."/>
      <w:lvlJc w:val="left"/>
      <w:pPr>
        <w:ind w:left="4822" w:hanging="360"/>
      </w:pPr>
    </w:lvl>
    <w:lvl w:ilvl="7" w:tentative="0">
      <w:start w:val="1"/>
      <w:numFmt w:val="lowerLetter"/>
      <w:lvlText w:val="%8."/>
      <w:lvlJc w:val="left"/>
      <w:pPr>
        <w:ind w:left="5542" w:hanging="360"/>
      </w:pPr>
    </w:lvl>
    <w:lvl w:ilvl="8" w:tentative="0">
      <w:start w:val="1"/>
      <w:numFmt w:val="lowerRoman"/>
      <w:lvlText w:val="%9."/>
      <w:lvlJc w:val="right"/>
      <w:pPr>
        <w:ind w:left="6262" w:hanging="180"/>
      </w:pPr>
    </w:lvl>
  </w:abstractNum>
  <w:abstractNum w:abstractNumId="3">
    <w:nsid w:val="0B3B7823"/>
    <w:multiLevelType w:val="multilevel"/>
    <w:tmpl w:val="0B3B7823"/>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
    <w:nsid w:val="1ACC4B82"/>
    <w:multiLevelType w:val="multilevel"/>
    <w:tmpl w:val="1ACC4B82"/>
    <w:lvl w:ilvl="0" w:tentative="0">
      <w:start w:val="1"/>
      <w:numFmt w:val="decimal"/>
      <w:lvlText w:val="%1."/>
      <w:lvlJc w:val="left"/>
      <w:pPr>
        <w:ind w:left="1170" w:hanging="360"/>
      </w:pPr>
      <w:rPr>
        <w:rFonts w:hint="default"/>
      </w:rPr>
    </w:lvl>
    <w:lvl w:ilvl="1" w:tentative="0">
      <w:start w:val="1"/>
      <w:numFmt w:val="lowerLetter"/>
      <w:lvlText w:val="%2."/>
      <w:lvlJc w:val="left"/>
      <w:pPr>
        <w:ind w:left="1845" w:hanging="360"/>
      </w:pPr>
    </w:lvl>
    <w:lvl w:ilvl="2" w:tentative="0">
      <w:start w:val="1"/>
      <w:numFmt w:val="lowerRoman"/>
      <w:lvlText w:val="%3."/>
      <w:lvlJc w:val="right"/>
      <w:pPr>
        <w:ind w:left="2565" w:hanging="180"/>
      </w:pPr>
    </w:lvl>
    <w:lvl w:ilvl="3" w:tentative="0">
      <w:start w:val="1"/>
      <w:numFmt w:val="decimal"/>
      <w:lvlText w:val="%4."/>
      <w:lvlJc w:val="left"/>
      <w:pPr>
        <w:ind w:left="3285" w:hanging="360"/>
      </w:pPr>
    </w:lvl>
    <w:lvl w:ilvl="4" w:tentative="0">
      <w:start w:val="1"/>
      <w:numFmt w:val="lowerLetter"/>
      <w:lvlText w:val="%5."/>
      <w:lvlJc w:val="left"/>
      <w:pPr>
        <w:ind w:left="4005" w:hanging="360"/>
      </w:pPr>
    </w:lvl>
    <w:lvl w:ilvl="5" w:tentative="0">
      <w:start w:val="1"/>
      <w:numFmt w:val="lowerRoman"/>
      <w:lvlText w:val="%6."/>
      <w:lvlJc w:val="right"/>
      <w:pPr>
        <w:ind w:left="4725" w:hanging="180"/>
      </w:pPr>
    </w:lvl>
    <w:lvl w:ilvl="6" w:tentative="0">
      <w:start w:val="1"/>
      <w:numFmt w:val="decimal"/>
      <w:lvlText w:val="%7."/>
      <w:lvlJc w:val="left"/>
      <w:pPr>
        <w:ind w:left="5445" w:hanging="360"/>
      </w:pPr>
    </w:lvl>
    <w:lvl w:ilvl="7" w:tentative="0">
      <w:start w:val="1"/>
      <w:numFmt w:val="lowerLetter"/>
      <w:lvlText w:val="%8."/>
      <w:lvlJc w:val="left"/>
      <w:pPr>
        <w:ind w:left="6165" w:hanging="360"/>
      </w:pPr>
    </w:lvl>
    <w:lvl w:ilvl="8" w:tentative="0">
      <w:start w:val="1"/>
      <w:numFmt w:val="lowerRoman"/>
      <w:lvlText w:val="%9."/>
      <w:lvlJc w:val="right"/>
      <w:pPr>
        <w:ind w:left="6885" w:hanging="180"/>
      </w:pPr>
    </w:lvl>
  </w:abstractNum>
  <w:abstractNum w:abstractNumId="5">
    <w:nsid w:val="2137664E"/>
    <w:multiLevelType w:val="multilevel"/>
    <w:tmpl w:val="2137664E"/>
    <w:lvl w:ilvl="0" w:tentative="0">
      <w:start w:val="1"/>
      <w:numFmt w:val="decimal"/>
      <w:lvlText w:val="%1."/>
      <w:lvlJc w:val="left"/>
      <w:pPr>
        <w:ind w:left="502" w:hanging="360"/>
      </w:pPr>
      <w:rPr>
        <w:rFonts w:hint="default"/>
      </w:rPr>
    </w:lvl>
    <w:lvl w:ilvl="1" w:tentative="0">
      <w:start w:val="1"/>
      <w:numFmt w:val="lowerLetter"/>
      <w:lvlText w:val="%2."/>
      <w:lvlJc w:val="left"/>
      <w:pPr>
        <w:ind w:left="1222" w:hanging="360"/>
      </w:pPr>
    </w:lvl>
    <w:lvl w:ilvl="2" w:tentative="0">
      <w:start w:val="1"/>
      <w:numFmt w:val="lowerRoman"/>
      <w:lvlText w:val="%3."/>
      <w:lvlJc w:val="right"/>
      <w:pPr>
        <w:ind w:left="1942" w:hanging="180"/>
      </w:pPr>
    </w:lvl>
    <w:lvl w:ilvl="3" w:tentative="0">
      <w:start w:val="1"/>
      <w:numFmt w:val="decimal"/>
      <w:lvlText w:val="%4."/>
      <w:lvlJc w:val="left"/>
      <w:pPr>
        <w:ind w:left="2662" w:hanging="360"/>
      </w:pPr>
    </w:lvl>
    <w:lvl w:ilvl="4" w:tentative="0">
      <w:start w:val="1"/>
      <w:numFmt w:val="lowerLetter"/>
      <w:lvlText w:val="%5."/>
      <w:lvlJc w:val="left"/>
      <w:pPr>
        <w:ind w:left="3382" w:hanging="360"/>
      </w:pPr>
    </w:lvl>
    <w:lvl w:ilvl="5" w:tentative="0">
      <w:start w:val="1"/>
      <w:numFmt w:val="lowerRoman"/>
      <w:lvlText w:val="%6."/>
      <w:lvlJc w:val="right"/>
      <w:pPr>
        <w:ind w:left="4102" w:hanging="180"/>
      </w:pPr>
    </w:lvl>
    <w:lvl w:ilvl="6" w:tentative="0">
      <w:start w:val="1"/>
      <w:numFmt w:val="decimal"/>
      <w:lvlText w:val="%7."/>
      <w:lvlJc w:val="left"/>
      <w:pPr>
        <w:ind w:left="4822" w:hanging="360"/>
      </w:pPr>
    </w:lvl>
    <w:lvl w:ilvl="7" w:tentative="0">
      <w:start w:val="1"/>
      <w:numFmt w:val="lowerLetter"/>
      <w:lvlText w:val="%8."/>
      <w:lvlJc w:val="left"/>
      <w:pPr>
        <w:ind w:left="5542" w:hanging="360"/>
      </w:pPr>
    </w:lvl>
    <w:lvl w:ilvl="8" w:tentative="0">
      <w:start w:val="1"/>
      <w:numFmt w:val="lowerRoman"/>
      <w:lvlText w:val="%9."/>
      <w:lvlJc w:val="right"/>
      <w:pPr>
        <w:ind w:left="6262" w:hanging="180"/>
      </w:pPr>
    </w:lvl>
  </w:abstractNum>
  <w:abstractNum w:abstractNumId="6">
    <w:nsid w:val="29F14969"/>
    <w:multiLevelType w:val="multilevel"/>
    <w:tmpl w:val="29F14969"/>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
    <w:nsid w:val="56930205"/>
    <w:multiLevelType w:val="multilevel"/>
    <w:tmpl w:val="5693020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5ACA3345"/>
    <w:multiLevelType w:val="multilevel"/>
    <w:tmpl w:val="5ACA3345"/>
    <w:lvl w:ilvl="0" w:tentative="0">
      <w:start w:val="1"/>
      <w:numFmt w:val="decimal"/>
      <w:lvlText w:val="%1."/>
      <w:lvlJc w:val="left"/>
      <w:pPr>
        <w:ind w:left="1170" w:hanging="360"/>
      </w:pPr>
      <w:rPr>
        <w:rFonts w:hint="default"/>
      </w:rPr>
    </w:lvl>
    <w:lvl w:ilvl="1" w:tentative="0">
      <w:start w:val="1"/>
      <w:numFmt w:val="lowerLetter"/>
      <w:lvlText w:val="%2."/>
      <w:lvlJc w:val="left"/>
      <w:pPr>
        <w:ind w:left="1845" w:hanging="360"/>
      </w:pPr>
    </w:lvl>
    <w:lvl w:ilvl="2" w:tentative="0">
      <w:start w:val="1"/>
      <w:numFmt w:val="lowerRoman"/>
      <w:lvlText w:val="%3."/>
      <w:lvlJc w:val="right"/>
      <w:pPr>
        <w:ind w:left="2565" w:hanging="180"/>
      </w:pPr>
    </w:lvl>
    <w:lvl w:ilvl="3" w:tentative="0">
      <w:start w:val="1"/>
      <w:numFmt w:val="decimal"/>
      <w:lvlText w:val="%4."/>
      <w:lvlJc w:val="left"/>
      <w:pPr>
        <w:ind w:left="3285" w:hanging="360"/>
      </w:pPr>
    </w:lvl>
    <w:lvl w:ilvl="4" w:tentative="0">
      <w:start w:val="1"/>
      <w:numFmt w:val="lowerLetter"/>
      <w:lvlText w:val="%5."/>
      <w:lvlJc w:val="left"/>
      <w:pPr>
        <w:ind w:left="4005" w:hanging="360"/>
      </w:pPr>
    </w:lvl>
    <w:lvl w:ilvl="5" w:tentative="0">
      <w:start w:val="1"/>
      <w:numFmt w:val="lowerRoman"/>
      <w:lvlText w:val="%6."/>
      <w:lvlJc w:val="right"/>
      <w:pPr>
        <w:ind w:left="4725" w:hanging="180"/>
      </w:pPr>
    </w:lvl>
    <w:lvl w:ilvl="6" w:tentative="0">
      <w:start w:val="1"/>
      <w:numFmt w:val="decimal"/>
      <w:lvlText w:val="%7."/>
      <w:lvlJc w:val="left"/>
      <w:pPr>
        <w:ind w:left="5445" w:hanging="360"/>
      </w:pPr>
    </w:lvl>
    <w:lvl w:ilvl="7" w:tentative="0">
      <w:start w:val="1"/>
      <w:numFmt w:val="lowerLetter"/>
      <w:lvlText w:val="%8."/>
      <w:lvlJc w:val="left"/>
      <w:pPr>
        <w:ind w:left="6165" w:hanging="360"/>
      </w:pPr>
    </w:lvl>
    <w:lvl w:ilvl="8" w:tentative="0">
      <w:start w:val="1"/>
      <w:numFmt w:val="lowerRoman"/>
      <w:lvlText w:val="%9."/>
      <w:lvlJc w:val="right"/>
      <w:pPr>
        <w:ind w:left="6885" w:hanging="180"/>
      </w:pPr>
    </w:lvl>
  </w:abstractNum>
  <w:abstractNum w:abstractNumId="9">
    <w:nsid w:val="78A81941"/>
    <w:multiLevelType w:val="multilevel"/>
    <w:tmpl w:val="78A81941"/>
    <w:lvl w:ilvl="0" w:tentative="0">
      <w:start w:val="1"/>
      <w:numFmt w:val="decimal"/>
      <w:lvlText w:val="%1."/>
      <w:lvlJc w:val="left"/>
      <w:pPr>
        <w:ind w:left="1170" w:hanging="360"/>
      </w:pPr>
      <w:rPr>
        <w:rFonts w:hint="default"/>
      </w:rPr>
    </w:lvl>
    <w:lvl w:ilvl="1" w:tentative="0">
      <w:start w:val="1"/>
      <w:numFmt w:val="lowerLetter"/>
      <w:lvlText w:val="%2."/>
      <w:lvlJc w:val="left"/>
      <w:pPr>
        <w:ind w:left="1845" w:hanging="360"/>
      </w:pPr>
    </w:lvl>
    <w:lvl w:ilvl="2" w:tentative="0">
      <w:start w:val="1"/>
      <w:numFmt w:val="lowerRoman"/>
      <w:lvlText w:val="%3."/>
      <w:lvlJc w:val="right"/>
      <w:pPr>
        <w:ind w:left="2565" w:hanging="180"/>
      </w:pPr>
    </w:lvl>
    <w:lvl w:ilvl="3" w:tentative="0">
      <w:start w:val="1"/>
      <w:numFmt w:val="decimal"/>
      <w:lvlText w:val="%4."/>
      <w:lvlJc w:val="left"/>
      <w:pPr>
        <w:ind w:left="3285" w:hanging="360"/>
      </w:pPr>
    </w:lvl>
    <w:lvl w:ilvl="4" w:tentative="0">
      <w:start w:val="1"/>
      <w:numFmt w:val="lowerLetter"/>
      <w:lvlText w:val="%5."/>
      <w:lvlJc w:val="left"/>
      <w:pPr>
        <w:ind w:left="4005" w:hanging="360"/>
      </w:pPr>
    </w:lvl>
    <w:lvl w:ilvl="5" w:tentative="0">
      <w:start w:val="1"/>
      <w:numFmt w:val="lowerRoman"/>
      <w:lvlText w:val="%6."/>
      <w:lvlJc w:val="right"/>
      <w:pPr>
        <w:ind w:left="4725" w:hanging="180"/>
      </w:pPr>
    </w:lvl>
    <w:lvl w:ilvl="6" w:tentative="0">
      <w:start w:val="1"/>
      <w:numFmt w:val="decimal"/>
      <w:lvlText w:val="%7."/>
      <w:lvlJc w:val="left"/>
      <w:pPr>
        <w:ind w:left="5445" w:hanging="360"/>
      </w:pPr>
    </w:lvl>
    <w:lvl w:ilvl="7" w:tentative="0">
      <w:start w:val="1"/>
      <w:numFmt w:val="lowerLetter"/>
      <w:lvlText w:val="%8."/>
      <w:lvlJc w:val="left"/>
      <w:pPr>
        <w:ind w:left="6165" w:hanging="360"/>
      </w:pPr>
    </w:lvl>
    <w:lvl w:ilvl="8" w:tentative="0">
      <w:start w:val="1"/>
      <w:numFmt w:val="lowerRoman"/>
      <w:lvlText w:val="%9."/>
      <w:lvlJc w:val="right"/>
      <w:pPr>
        <w:ind w:left="6885" w:hanging="180"/>
      </w:pPr>
    </w:lvl>
  </w:abstractNum>
  <w:abstractNum w:abstractNumId="10">
    <w:nsid w:val="7E3227E8"/>
    <w:multiLevelType w:val="multilevel"/>
    <w:tmpl w:val="7E3227E8"/>
    <w:lvl w:ilvl="0" w:tentative="0">
      <w:start w:val="1"/>
      <w:numFmt w:val="decimal"/>
      <w:lvlText w:val="%1."/>
      <w:lvlJc w:val="left"/>
      <w:pPr>
        <w:ind w:left="502" w:hanging="360"/>
      </w:pPr>
      <w:rPr>
        <w:rFonts w:hint="default"/>
      </w:rPr>
    </w:lvl>
    <w:lvl w:ilvl="1" w:tentative="0">
      <w:start w:val="1"/>
      <w:numFmt w:val="lowerLetter"/>
      <w:lvlText w:val="%2."/>
      <w:lvlJc w:val="left"/>
      <w:pPr>
        <w:ind w:left="1222" w:hanging="360"/>
      </w:pPr>
    </w:lvl>
    <w:lvl w:ilvl="2" w:tentative="0">
      <w:start w:val="1"/>
      <w:numFmt w:val="lowerRoman"/>
      <w:lvlText w:val="%3."/>
      <w:lvlJc w:val="right"/>
      <w:pPr>
        <w:ind w:left="1942" w:hanging="180"/>
      </w:pPr>
    </w:lvl>
    <w:lvl w:ilvl="3" w:tentative="0">
      <w:start w:val="1"/>
      <w:numFmt w:val="decimal"/>
      <w:lvlText w:val="%4."/>
      <w:lvlJc w:val="left"/>
      <w:pPr>
        <w:ind w:left="2662" w:hanging="360"/>
      </w:pPr>
    </w:lvl>
    <w:lvl w:ilvl="4" w:tentative="0">
      <w:start w:val="1"/>
      <w:numFmt w:val="lowerLetter"/>
      <w:lvlText w:val="%5."/>
      <w:lvlJc w:val="left"/>
      <w:pPr>
        <w:ind w:left="3382" w:hanging="360"/>
      </w:pPr>
    </w:lvl>
    <w:lvl w:ilvl="5" w:tentative="0">
      <w:start w:val="1"/>
      <w:numFmt w:val="lowerRoman"/>
      <w:lvlText w:val="%6."/>
      <w:lvlJc w:val="right"/>
      <w:pPr>
        <w:ind w:left="4102" w:hanging="180"/>
      </w:pPr>
    </w:lvl>
    <w:lvl w:ilvl="6" w:tentative="0">
      <w:start w:val="1"/>
      <w:numFmt w:val="decimal"/>
      <w:lvlText w:val="%7."/>
      <w:lvlJc w:val="left"/>
      <w:pPr>
        <w:ind w:left="4822" w:hanging="360"/>
      </w:pPr>
    </w:lvl>
    <w:lvl w:ilvl="7" w:tentative="0">
      <w:start w:val="1"/>
      <w:numFmt w:val="lowerLetter"/>
      <w:lvlText w:val="%8."/>
      <w:lvlJc w:val="left"/>
      <w:pPr>
        <w:ind w:left="5542" w:hanging="360"/>
      </w:pPr>
    </w:lvl>
    <w:lvl w:ilvl="8" w:tentative="0">
      <w:start w:val="1"/>
      <w:numFmt w:val="lowerRoman"/>
      <w:lvlText w:val="%9."/>
      <w:lvlJc w:val="right"/>
      <w:pPr>
        <w:ind w:left="6262" w:hanging="180"/>
      </w:pPr>
    </w:lvl>
  </w:abstractNum>
  <w:num w:numId="1">
    <w:abstractNumId w:val="3"/>
  </w:num>
  <w:num w:numId="2">
    <w:abstractNumId w:val="6"/>
  </w:num>
  <w:num w:numId="3">
    <w:abstractNumId w:val="7"/>
  </w:num>
  <w:num w:numId="4">
    <w:abstractNumId w:val="8"/>
  </w:num>
  <w:num w:numId="5">
    <w:abstractNumId w:val="9"/>
  </w:num>
  <w:num w:numId="6">
    <w:abstractNumId w:val="4"/>
  </w:num>
  <w:num w:numId="7">
    <w:abstractNumId w:val="0"/>
  </w:num>
  <w:num w:numId="8">
    <w:abstractNumId w:val="2"/>
  </w:num>
  <w:num w:numId="9">
    <w:abstractNumId w:val="10"/>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hideSpellingErrors/>
  <w:hideGrammaticalErrors/>
  <w:doNotTrackMoves/>
  <w:documentProtection w:enforcement="0"/>
  <w:defaultTabStop w:val="720"/>
  <w:doNotHyphenateCaps/>
  <w:displayHorizontalDrawingGridEvery w:val="0"/>
  <w:displayVerticalDrawingGridEvery w:val="0"/>
  <w:doNotUseMarginsForDrawingGridOrigin w:val="1"/>
  <w:drawingGridHorizontalOrigin w:val="1800"/>
  <w:drawingGridVerticalOrigin w:val="1440"/>
  <w:doNotShadeFormData w:val="1"/>
  <w:noPunctuationKerning w:val="1"/>
  <w:characterSpacingControl w:val="doNotCompress"/>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51CA5"/>
    <w:rsid w:val="000E17FF"/>
    <w:rsid w:val="000F2C37"/>
    <w:rsid w:val="001214F1"/>
    <w:rsid w:val="00152295"/>
    <w:rsid w:val="00166169"/>
    <w:rsid w:val="00170243"/>
    <w:rsid w:val="00171DEA"/>
    <w:rsid w:val="00172A27"/>
    <w:rsid w:val="00180747"/>
    <w:rsid w:val="001A2E93"/>
    <w:rsid w:val="001B50AD"/>
    <w:rsid w:val="001C1DF0"/>
    <w:rsid w:val="001C2CA2"/>
    <w:rsid w:val="001F1DD0"/>
    <w:rsid w:val="001F2373"/>
    <w:rsid w:val="001F344E"/>
    <w:rsid w:val="00203F09"/>
    <w:rsid w:val="00207B71"/>
    <w:rsid w:val="002412B6"/>
    <w:rsid w:val="002457EE"/>
    <w:rsid w:val="002A021A"/>
    <w:rsid w:val="002A4A18"/>
    <w:rsid w:val="002D1DE3"/>
    <w:rsid w:val="002E491C"/>
    <w:rsid w:val="0030216B"/>
    <w:rsid w:val="00333238"/>
    <w:rsid w:val="003447F8"/>
    <w:rsid w:val="00377024"/>
    <w:rsid w:val="00380D34"/>
    <w:rsid w:val="003A39BE"/>
    <w:rsid w:val="003C2AD4"/>
    <w:rsid w:val="003F355E"/>
    <w:rsid w:val="00415F51"/>
    <w:rsid w:val="004170CB"/>
    <w:rsid w:val="00475744"/>
    <w:rsid w:val="004A749E"/>
    <w:rsid w:val="004F3EDC"/>
    <w:rsid w:val="0050484D"/>
    <w:rsid w:val="00517D62"/>
    <w:rsid w:val="00576140"/>
    <w:rsid w:val="00580FE2"/>
    <w:rsid w:val="00587EC8"/>
    <w:rsid w:val="005967F3"/>
    <w:rsid w:val="00605CBC"/>
    <w:rsid w:val="006341B5"/>
    <w:rsid w:val="00690FA0"/>
    <w:rsid w:val="00691AF2"/>
    <w:rsid w:val="0069319B"/>
    <w:rsid w:val="006A23FF"/>
    <w:rsid w:val="006B35BB"/>
    <w:rsid w:val="006B68A2"/>
    <w:rsid w:val="006C1C16"/>
    <w:rsid w:val="006D79D0"/>
    <w:rsid w:val="006E51E2"/>
    <w:rsid w:val="006F0C7C"/>
    <w:rsid w:val="006F1917"/>
    <w:rsid w:val="007709B4"/>
    <w:rsid w:val="007743C8"/>
    <w:rsid w:val="007846E1"/>
    <w:rsid w:val="007B5AAA"/>
    <w:rsid w:val="007D468B"/>
    <w:rsid w:val="007F7F19"/>
    <w:rsid w:val="00807308"/>
    <w:rsid w:val="008131CD"/>
    <w:rsid w:val="00880D76"/>
    <w:rsid w:val="008B3266"/>
    <w:rsid w:val="008B7F5D"/>
    <w:rsid w:val="008E1777"/>
    <w:rsid w:val="008E36ED"/>
    <w:rsid w:val="008E507D"/>
    <w:rsid w:val="00922C13"/>
    <w:rsid w:val="009271F7"/>
    <w:rsid w:val="009275BA"/>
    <w:rsid w:val="0093184E"/>
    <w:rsid w:val="00946F95"/>
    <w:rsid w:val="00993132"/>
    <w:rsid w:val="00994741"/>
    <w:rsid w:val="00997C8D"/>
    <w:rsid w:val="009A35AC"/>
    <w:rsid w:val="00A175D1"/>
    <w:rsid w:val="00A339AD"/>
    <w:rsid w:val="00A33C9B"/>
    <w:rsid w:val="00A3691E"/>
    <w:rsid w:val="00A55405"/>
    <w:rsid w:val="00A644C6"/>
    <w:rsid w:val="00A90EC3"/>
    <w:rsid w:val="00AC16E8"/>
    <w:rsid w:val="00AE7ED6"/>
    <w:rsid w:val="00B141ED"/>
    <w:rsid w:val="00B80C74"/>
    <w:rsid w:val="00B92519"/>
    <w:rsid w:val="00B9288E"/>
    <w:rsid w:val="00BC3EB5"/>
    <w:rsid w:val="00BE3603"/>
    <w:rsid w:val="00BE437E"/>
    <w:rsid w:val="00BF6858"/>
    <w:rsid w:val="00C37A29"/>
    <w:rsid w:val="00C4489E"/>
    <w:rsid w:val="00C53A30"/>
    <w:rsid w:val="00C70691"/>
    <w:rsid w:val="00C765E7"/>
    <w:rsid w:val="00CB7351"/>
    <w:rsid w:val="00CC1C17"/>
    <w:rsid w:val="00CE33A1"/>
    <w:rsid w:val="00CF4C14"/>
    <w:rsid w:val="00D40F1B"/>
    <w:rsid w:val="00D72C8C"/>
    <w:rsid w:val="00D740F5"/>
    <w:rsid w:val="00D86CBB"/>
    <w:rsid w:val="00DB7169"/>
    <w:rsid w:val="00E15D68"/>
    <w:rsid w:val="00E25627"/>
    <w:rsid w:val="00E67E07"/>
    <w:rsid w:val="00E73CF2"/>
    <w:rsid w:val="00E76A00"/>
    <w:rsid w:val="00E82464"/>
    <w:rsid w:val="00EB4AFD"/>
    <w:rsid w:val="00EB550C"/>
    <w:rsid w:val="00EE0E53"/>
    <w:rsid w:val="00EE520D"/>
    <w:rsid w:val="00F109BB"/>
    <w:rsid w:val="00F15018"/>
    <w:rsid w:val="00F17DA6"/>
    <w:rsid w:val="00F35102"/>
    <w:rsid w:val="00F53FCB"/>
    <w:rsid w:val="00F5527A"/>
    <w:rsid w:val="00F668E7"/>
    <w:rsid w:val="00F818A7"/>
    <w:rsid w:val="00F873B7"/>
    <w:rsid w:val="00F92675"/>
    <w:rsid w:val="00FA7F3A"/>
    <w:rsid w:val="00FB14AD"/>
    <w:rsid w:val="00FD3AA9"/>
    <w:rsid w:val="00FE6FD1"/>
    <w:rsid w:val="00FF4AAD"/>
    <w:rsid w:val="047A5783"/>
    <w:rsid w:val="05ED5ECC"/>
    <w:rsid w:val="06771D97"/>
    <w:rsid w:val="06EE30C2"/>
    <w:rsid w:val="09853C2E"/>
    <w:rsid w:val="09DF606D"/>
    <w:rsid w:val="11491A44"/>
    <w:rsid w:val="16C54A69"/>
    <w:rsid w:val="1964318D"/>
    <w:rsid w:val="21C847FC"/>
    <w:rsid w:val="241B49E1"/>
    <w:rsid w:val="24741E5C"/>
    <w:rsid w:val="29397DA9"/>
    <w:rsid w:val="299A67A7"/>
    <w:rsid w:val="2A7C685F"/>
    <w:rsid w:val="32EC1264"/>
    <w:rsid w:val="41B6005B"/>
    <w:rsid w:val="49121BEA"/>
    <w:rsid w:val="4A9F154A"/>
    <w:rsid w:val="4B080978"/>
    <w:rsid w:val="4E3F06E1"/>
    <w:rsid w:val="4FF83AC3"/>
    <w:rsid w:val="512C2A42"/>
    <w:rsid w:val="570B2EB7"/>
    <w:rsid w:val="5D9302F4"/>
    <w:rsid w:val="664B7653"/>
    <w:rsid w:val="673E3CF4"/>
    <w:rsid w:val="691427CE"/>
    <w:rsid w:val="6BCD6EDE"/>
    <w:rsid w:val="6DC54972"/>
    <w:rsid w:val="717F2550"/>
    <w:rsid w:val="72EC0694"/>
    <w:rsid w:val="75F5333A"/>
    <w:rsid w:val="78516531"/>
    <w:rsid w:val="7F79715A"/>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lang w:val="en-US" w:eastAsia="en-US" w:bidi="ar-SA"/>
    </w:rPr>
  </w:style>
  <w:style w:type="paragraph" w:styleId="2">
    <w:name w:val="heading 1"/>
    <w:basedOn w:val="1"/>
    <w:next w:val="1"/>
    <w:qFormat/>
    <w:uiPriority w:val="0"/>
    <w:pPr>
      <w:keepNext/>
      <w:jc w:val="center"/>
      <w:outlineLvl w:val="0"/>
    </w:pPr>
    <w:rPr>
      <w:rFonts w:ascii="Bookman Old Style" w:hAnsi="Bookman Old Style"/>
      <w:sz w:val="24"/>
    </w:rPr>
  </w:style>
  <w:style w:type="paragraph" w:styleId="3">
    <w:name w:val="heading 2"/>
    <w:basedOn w:val="1"/>
    <w:next w:val="1"/>
    <w:qFormat/>
    <w:uiPriority w:val="0"/>
    <w:pPr>
      <w:keepNext/>
      <w:tabs>
        <w:tab w:val="left" w:pos="360"/>
      </w:tabs>
      <w:jc w:val="both"/>
      <w:outlineLvl w:val="1"/>
    </w:pPr>
    <w:rPr>
      <w:b/>
    </w:rPr>
  </w:style>
  <w:style w:type="character" w:default="1" w:styleId="4">
    <w:name w:val="Default Paragraph Font"/>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alloon Text"/>
    <w:basedOn w:val="1"/>
    <w:semiHidden/>
    <w:qFormat/>
    <w:uiPriority w:val="0"/>
    <w:rPr>
      <w:rFonts w:ascii="Tahoma" w:hAnsi="Tahoma" w:cs="Tahoma"/>
      <w:sz w:val="16"/>
      <w:szCs w:val="16"/>
    </w:rPr>
  </w:style>
  <w:style w:type="paragraph" w:styleId="7">
    <w:name w:val="Body Text"/>
    <w:basedOn w:val="1"/>
    <w:semiHidden/>
    <w:qFormat/>
    <w:uiPriority w:val="0"/>
    <w:pPr>
      <w:jc w:val="center"/>
    </w:pPr>
    <w:rPr>
      <w:b/>
    </w:rPr>
  </w:style>
  <w:style w:type="paragraph" w:styleId="8">
    <w:name w:val="Body Text 3"/>
    <w:basedOn w:val="1"/>
    <w:link w:val="12"/>
    <w:unhideWhenUsed/>
    <w:qFormat/>
    <w:uiPriority w:val="99"/>
    <w:pPr>
      <w:spacing w:after="120"/>
    </w:pPr>
    <w:rPr>
      <w:sz w:val="16"/>
      <w:szCs w:val="16"/>
      <w:lang w:val="zh-CN"/>
    </w:rPr>
  </w:style>
  <w:style w:type="paragraph" w:styleId="9">
    <w:name w:val="footer"/>
    <w:basedOn w:val="1"/>
    <w:semiHidden/>
    <w:qFormat/>
    <w:uiPriority w:val="0"/>
    <w:pPr>
      <w:tabs>
        <w:tab w:val="center" w:pos="4320"/>
        <w:tab w:val="right" w:pos="8640"/>
      </w:tabs>
    </w:pPr>
  </w:style>
  <w:style w:type="paragraph" w:styleId="10">
    <w:name w:val="header"/>
    <w:basedOn w:val="1"/>
    <w:semiHidden/>
    <w:qFormat/>
    <w:uiPriority w:val="0"/>
    <w:pPr>
      <w:tabs>
        <w:tab w:val="center" w:pos="4320"/>
        <w:tab w:val="right" w:pos="8640"/>
      </w:tabs>
    </w:pPr>
  </w:style>
  <w:style w:type="table" w:styleId="11">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Body Text 3 Char"/>
    <w:link w:val="8"/>
    <w:qFormat/>
    <w:uiPriority w:val="99"/>
    <w:rPr>
      <w:sz w:val="16"/>
      <w:szCs w:val="16"/>
      <w:lang w:eastAsia="en-US"/>
    </w:rPr>
  </w:style>
  <w:style w:type="paragraph" w:styleId="13">
    <w:name w:val="List Paragraph"/>
    <w:basedOn w:val="1"/>
    <w:qFormat/>
    <w:uiPriority w:val="34"/>
    <w:pPr>
      <w:ind w:left="720"/>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68"/>
    <customShpInfo spid="_x0000_s1069"/>
    <customShpInfo spid="_x0000_s1066"/>
    <customShpInfo spid="_x0000_s1067"/>
    <customShpInfo spid="_x0000_s1070"/>
    <customShpInfo spid="_x0000_s1083"/>
    <customShpInfo spid="_x0000_s1071"/>
    <customShpInfo spid="_x0000_s1082"/>
    <customShpInfo spid="_x0000_s1080"/>
    <customShpInfo spid="_x0000_s108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E&amp;E Labs, Inc.</Company>
  <Pages>4</Pages>
  <Words>1859</Words>
  <Characters>10599</Characters>
  <Lines>88</Lines>
  <Paragraphs>24</Paragraphs>
  <TotalTime>19</TotalTime>
  <ScaleCrop>false</ScaleCrop>
  <LinksUpToDate>false</LinksUpToDate>
  <CharactersWithSpaces>12434</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2024-08-01T07:42:00Z</dcterms:created>
  <dc:creator>SHAO FANG YOU</dc:creator>
  <cp:lastModifiedBy>WPS_1704431798</cp:lastModifiedBy>
  <cp:lastPrinted>2008-08-26T11:33:00Z</cp:lastPrinted>
  <dcterms:modified xsi:type="dcterms:W3CDTF">2024-09-30T05:10:54Z</dcterms:modified>
  <dc:title>AFP enzyme immunoassay test kit</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0FA48C02BDE54C8180365F020E554BA3_12</vt:lpwstr>
  </property>
</Properties>
</file>